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>
              <w:t>Utviklings- og kompetanseetaten</w:t>
            </w:r>
          </w:p>
        </w:tc>
      </w:tr>
      <w:tr w:rsidR="0041004E" w:rsidRPr="00C8089A" w:rsidTr="0041004E">
        <w:trPr>
          <w:trHeight w:val="480"/>
        </w:trPr>
        <w:tc>
          <w:tcPr>
            <w:tcW w:w="9270" w:type="dxa"/>
            <w:gridSpan w:val="2"/>
          </w:tcPr>
          <w:p w:rsidR="006D3FED" w:rsidRPr="00C8089A" w:rsidRDefault="006D3FED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 w:rsidRPr="00C8089A">
              <w:rPr>
                <w:sz w:val="20"/>
                <w:szCs w:val="20"/>
              </w:rPr>
              <w:t>Medbestemmelsesutvalget (MBU)</w:t>
            </w:r>
          </w:p>
          <w:p w:rsidR="007D7E44" w:rsidRPr="007D7E44" w:rsidRDefault="007D7E44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 w:rsidRPr="007D7E4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MBU-sak 07/2020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5714F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5714FC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MBU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5714FC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Dato: 24.06.2020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5714F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5714FC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5714F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5714F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5714FC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5714F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Pr="00C8089A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7D7E44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SAK TIL MBU</w:t>
            </w: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:</w:t>
            </w: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AD42AC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Justering av organisasjonsstruktur i </w:t>
            </w:r>
            <w:r w:rsidR="002F6D39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Virksomhetsdialog;</w:t>
            </w:r>
            <w:r w:rsidR="00AD42AC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 </w:t>
            </w:r>
            <w:r w:rsidRPr="00AD42AC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Seksjon for konsulenttjenester. </w:t>
            </w: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Pr="00C8089A" w:rsidRDefault="007D7E44" w:rsidP="007D7E44">
            <w:pPr>
              <w:spacing w:after="0" w:line="240" w:lineRule="auto"/>
              <w:rPr>
                <w:rFonts w:asciiTheme="majorHAnsi" w:eastAsia="Calibri" w:hAnsiTheme="majorHAnsi" w:cs="Calibri"/>
                <w:b/>
                <w:szCs w:val="20"/>
              </w:rPr>
            </w:pPr>
            <w:r w:rsidRPr="00C8089A">
              <w:rPr>
                <w:rFonts w:asciiTheme="majorHAnsi" w:eastAsia="Calibri" w:hAnsiTheme="majorHAnsi" w:cs="Calibri"/>
                <w:b/>
                <w:szCs w:val="20"/>
              </w:rPr>
              <w:t>Saksfremstilling</w:t>
            </w:r>
          </w:p>
          <w:p w:rsidR="00037D6F" w:rsidRDefault="00C8089A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>I forbindelse med omorganiseringen som ble iverksatt 1. juni 2018 ble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 leveranser og tjenester innen kompetanseutvikling, l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edelse, OU og strategisk HR organisatorisk plassert i tre ulike seksjoner i to </w:t>
            </w:r>
            <w:r w:rsidR="00AD42AC">
              <w:rPr>
                <w:rFonts w:asciiTheme="majorHAnsi" w:eastAsia="Calibri" w:hAnsiTheme="majorHAnsi" w:cs="Calibri"/>
                <w:szCs w:val="20"/>
              </w:rPr>
              <w:t>avdelinger/</w:t>
            </w:r>
            <w:r>
              <w:rPr>
                <w:rFonts w:asciiTheme="majorHAnsi" w:eastAsia="Calibri" w:hAnsiTheme="majorHAnsi" w:cs="Calibri"/>
                <w:szCs w:val="20"/>
              </w:rPr>
              <w:t>vertikaler. Før dette var disse fagområdene organisert i en og samme avdeling. Etter to år med implementering av ny organisasjonsstruktur vurderer etatsdirektøren det dithen at det er nødvendi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g å gjøre nødvendige </w:t>
            </w:r>
            <w:r>
              <w:rPr>
                <w:rFonts w:asciiTheme="majorHAnsi" w:eastAsia="Calibri" w:hAnsiTheme="majorHAnsi" w:cs="Calibri"/>
                <w:szCs w:val="20"/>
              </w:rPr>
              <w:t>organisa</w:t>
            </w:r>
            <w:r w:rsidR="00C93F97">
              <w:rPr>
                <w:rFonts w:asciiTheme="majorHAnsi" w:eastAsia="Calibri" w:hAnsiTheme="majorHAnsi" w:cs="Calibri"/>
                <w:szCs w:val="20"/>
              </w:rPr>
              <w:t>tori</w:t>
            </w:r>
            <w:r w:rsidR="00037D6F">
              <w:rPr>
                <w:rFonts w:asciiTheme="majorHAnsi" w:eastAsia="Calibri" w:hAnsiTheme="majorHAnsi" w:cs="Calibri"/>
                <w:szCs w:val="20"/>
              </w:rPr>
              <w:t>ske justeringer ved å samle de nevnte fagområdene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 i en og samme seksjon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 igjen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. </w:t>
            </w:r>
          </w:p>
          <w:p w:rsidR="00037D6F" w:rsidRDefault="00037D6F" w:rsidP="00037D6F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>Begrunnelsen for forslaget om å samle fagmiljøet er at man ønsker større grad av robusthet faglig og bemanning</w:t>
            </w:r>
            <w:r w:rsidR="002F6D39">
              <w:rPr>
                <w:rFonts w:asciiTheme="majorHAnsi" w:eastAsia="Calibri" w:hAnsiTheme="majorHAnsi" w:cs="Calibri"/>
                <w:szCs w:val="20"/>
              </w:rPr>
              <w:t>smessig ved at man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 kan benytte spesialisert fagkompetanse </w:t>
            </w:r>
            <w:r w:rsidR="002F6D39">
              <w:rPr>
                <w:rFonts w:asciiTheme="majorHAnsi" w:eastAsia="Calibri" w:hAnsiTheme="majorHAnsi" w:cs="Calibri"/>
                <w:szCs w:val="20"/>
              </w:rPr>
              <w:t xml:space="preserve">mer fleksibelt og 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på tvers under samme </w:t>
            </w:r>
            <w:r w:rsidR="002F6D39">
              <w:rPr>
                <w:rFonts w:asciiTheme="majorHAnsi" w:eastAsia="Calibri" w:hAnsiTheme="majorHAnsi" w:cs="Calibri"/>
                <w:szCs w:val="20"/>
              </w:rPr>
              <w:t>styringslinje/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ledelse. Å organisere fagmiljøene sammen </w:t>
            </w:r>
            <w:r w:rsidR="00AD42AC">
              <w:rPr>
                <w:rFonts w:asciiTheme="majorHAnsi" w:eastAsia="Calibri" w:hAnsiTheme="majorHAnsi" w:cs="Calibri"/>
                <w:szCs w:val="20"/>
              </w:rPr>
              <w:t>vil kunne gi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 økt leveransekapasitet og bidra til å høyne faglig kvalitet i leveransene</w:t>
            </w:r>
            <w:r w:rsidR="00AD42AC">
              <w:rPr>
                <w:rFonts w:asciiTheme="majorHAnsi" w:eastAsia="Calibri" w:hAnsiTheme="majorHAnsi" w:cs="Calibri"/>
                <w:szCs w:val="20"/>
              </w:rPr>
              <w:t xml:space="preserve"> gjennom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 mobilisering og optimal bruk av kompetansen i et og samme fagmiljø. </w:t>
            </w:r>
          </w:p>
          <w:p w:rsidR="00037D6F" w:rsidRDefault="00037D6F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</w:p>
          <w:p w:rsidR="00C93F97" w:rsidRDefault="00037D6F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>En annen begrunnelse for nødvendigheten av foreliggende justering er at s</w:t>
            </w:r>
            <w:r w:rsidR="00C93F97">
              <w:rPr>
                <w:rFonts w:asciiTheme="majorHAnsi" w:eastAsia="Calibri" w:hAnsiTheme="majorHAnsi" w:cs="Calibri"/>
                <w:szCs w:val="20"/>
              </w:rPr>
              <w:t>tillingen som seksjonsled</w:t>
            </w:r>
            <w:r>
              <w:rPr>
                <w:rFonts w:asciiTheme="majorHAnsi" w:eastAsia="Calibri" w:hAnsiTheme="majorHAnsi" w:cs="Calibri"/>
                <w:szCs w:val="20"/>
              </w:rPr>
              <w:t>er for Beste praksis ble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 inndratt for b</w:t>
            </w:r>
            <w:r>
              <w:rPr>
                <w:rFonts w:asciiTheme="majorHAnsi" w:eastAsia="Calibri" w:hAnsiTheme="majorHAnsi" w:cs="Calibri"/>
                <w:szCs w:val="20"/>
              </w:rPr>
              <w:t>udsjettåret 2020. De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 ansatte som tilhø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rte denne seksjonen har 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midlertidig 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vært 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organisatorisk plassert direkte under avdelingsdirektør 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i Virksomhetsdialog </w:t>
            </w:r>
            <w:r w:rsidR="00C93F97">
              <w:rPr>
                <w:rFonts w:asciiTheme="majorHAnsi" w:eastAsia="Calibri" w:hAnsiTheme="majorHAnsi" w:cs="Calibri"/>
                <w:szCs w:val="20"/>
              </w:rPr>
              <w:t xml:space="preserve">og seksjonsleder for Konsulenttjenester. Det er helt nødvendig å få på plass en fast ramme rundt de ansatte dette gjelder nå. </w:t>
            </w:r>
          </w:p>
          <w:p w:rsidR="00C93F97" w:rsidRDefault="00C93F97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</w:p>
          <w:p w:rsidR="00646761" w:rsidRDefault="00C8089A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>Foreliggende sak omhandler fagområder hvor etaten har sentrale leveranser i tildelingsbrevet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 </w:t>
            </w:r>
            <w:r w:rsidR="00037D6F">
              <w:rPr>
                <w:rFonts w:asciiTheme="majorHAnsi" w:eastAsia="Calibri" w:hAnsiTheme="majorHAnsi" w:cs="Calibri"/>
                <w:szCs w:val="20"/>
              </w:rPr>
              <w:t>i tett dialog med FIN/PER og BLK/SOL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, faste forvaltningsoppgaver </w:t>
            </w:r>
            <w:r w:rsidR="00AD42AC">
              <w:rPr>
                <w:rFonts w:asciiTheme="majorHAnsi" w:eastAsia="Calibri" w:hAnsiTheme="majorHAnsi" w:cs="Calibri"/>
                <w:szCs w:val="20"/>
              </w:rPr>
              <w:t xml:space="preserve">for 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omstilling av overtallige,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utstrakt 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kursvirksomhet 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samt konsulenttjenester </w:t>
            </w:r>
            <w:r w:rsidR="00037D6F">
              <w:rPr>
                <w:rFonts w:asciiTheme="majorHAnsi" w:eastAsia="Calibri" w:hAnsiTheme="majorHAnsi" w:cs="Calibri"/>
                <w:szCs w:val="20"/>
              </w:rPr>
              <w:t>innen ledelse og organisasjonsutvikling, deriblant Tilbud t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il toppledere</w:t>
            </w:r>
            <w:r w:rsidR="00037D6F">
              <w:rPr>
                <w:rFonts w:asciiTheme="majorHAnsi" w:eastAsia="Calibri" w:hAnsiTheme="majorHAnsi" w:cs="Calibri"/>
                <w:szCs w:val="20"/>
              </w:rPr>
              <w:t xml:space="preserve">. </w:t>
            </w:r>
          </w:p>
          <w:p w:rsidR="007D7E44" w:rsidRDefault="007D7E44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Det er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uttalt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 bekymring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i fagdialogen med nevnte fagseksjoner i </w:t>
            </w:r>
            <w:r w:rsidR="00AD42AC">
              <w:rPr>
                <w:rFonts w:asciiTheme="majorHAnsi" w:eastAsia="Calibri" w:hAnsiTheme="majorHAnsi" w:cs="Calibri"/>
                <w:szCs w:val="20"/>
              </w:rPr>
              <w:t>R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ådhuset rundt etatens 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leveransekapasitet på de strategiske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fag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>leveransen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e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.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>Dette fordi det er kjent at fagmiljøet er organisatorisk plasser i ulike seksjoner og ver</w:t>
            </w:r>
            <w:r w:rsidR="00AD42AC">
              <w:rPr>
                <w:rFonts w:asciiTheme="majorHAnsi" w:eastAsia="Calibri" w:hAnsiTheme="majorHAnsi" w:cs="Calibri"/>
                <w:szCs w:val="20"/>
              </w:rPr>
              <w:t xml:space="preserve">tikaler, og at dette oppleves som </w:t>
            </w:r>
            <w:r w:rsidR="00AC09E6">
              <w:rPr>
                <w:rFonts w:asciiTheme="majorHAnsi" w:eastAsia="Calibri" w:hAnsiTheme="majorHAnsi" w:cs="Calibri"/>
                <w:szCs w:val="20"/>
              </w:rPr>
              <w:t xml:space="preserve">lite robust. Ledere og ansatte som er direkte knytte til leveransene </w:t>
            </w:r>
            <w:r w:rsidR="00646761">
              <w:rPr>
                <w:rFonts w:asciiTheme="majorHAnsi" w:eastAsia="Calibri" w:hAnsiTheme="majorHAnsi" w:cs="Calibri"/>
                <w:szCs w:val="20"/>
              </w:rPr>
              <w:t xml:space="preserve">bekrefter denne bekymringen og har erfart at leveransekapasiteten er svært sårbar ved sykefravær, turnover og fordi man ikke utnytter den samlede fagkompetansen innen ledelse, OU og HR bedre enn i dag.   </w:t>
            </w:r>
            <w:r w:rsidRPr="007D7E44">
              <w:rPr>
                <w:rFonts w:asciiTheme="majorHAnsi" w:eastAsia="Calibri" w:hAnsiTheme="majorHAnsi" w:cs="Calibri"/>
                <w:szCs w:val="20"/>
              </w:rPr>
              <w:t xml:space="preserve"> </w:t>
            </w:r>
          </w:p>
          <w:p w:rsidR="00AC09E6" w:rsidRPr="007D7E44" w:rsidRDefault="00AC09E6" w:rsidP="007D7E44">
            <w:pPr>
              <w:spacing w:after="0" w:line="240" w:lineRule="auto"/>
              <w:rPr>
                <w:rFonts w:asciiTheme="majorHAnsi" w:eastAsia="Calibri" w:hAnsiTheme="majorHAnsi" w:cs="Calibri"/>
                <w:szCs w:val="20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lastRenderedPageBreak/>
              <w:t xml:space="preserve">Etatsdirektøren har derfor besluttet at en organisatorisk justering er nødvendig, skissert og gjennomført som følger: </w:t>
            </w: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C8089A" w:rsidRPr="00C8089A" w:rsidRDefault="00C8089A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Administrative konsekvenser: </w:t>
            </w:r>
          </w:p>
          <w:p w:rsidR="00733E15" w:rsidRPr="00733E15" w:rsidRDefault="00733E15" w:rsidP="00733E1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Oslo Sans Office" w:eastAsia="Times New Roman" w:hAnsi="Oslo Sans Office" w:cs="Times New Roman"/>
                <w:color w:val="4EF8B6"/>
                <w:szCs w:val="20"/>
                <w:lang w:eastAsia="nb-NO"/>
              </w:rPr>
            </w:pPr>
            <w:r w:rsidRPr="00733E15">
              <w:rPr>
                <w:rFonts w:ascii="Oslo Sans Office" w:eastAsia="+mn-ea" w:hAnsi="Oslo Sans Office" w:cs="+mn-cs"/>
                <w:color w:val="000000"/>
                <w:kern w:val="24"/>
                <w:szCs w:val="20"/>
                <w:lang w:eastAsia="nb-NO"/>
              </w:rPr>
              <w:t xml:space="preserve">Team personalomstilling tas ut av Konsernservice og blir organisatorisk plassert som eget team i Seksjon for konsulenttjenester i Virksomhetsdialog. </w:t>
            </w:r>
          </w:p>
          <w:p w:rsidR="00733E15" w:rsidRPr="00733E15" w:rsidRDefault="00733E15" w:rsidP="00733E15">
            <w:pPr>
              <w:numPr>
                <w:ilvl w:val="0"/>
                <w:numId w:val="10"/>
              </w:numPr>
              <w:tabs>
                <w:tab w:val="num" w:pos="3600"/>
              </w:tabs>
              <w:spacing w:after="0" w:line="240" w:lineRule="auto"/>
              <w:contextualSpacing/>
              <w:rPr>
                <w:rFonts w:ascii="Oslo Sans Office" w:eastAsia="Times New Roman" w:hAnsi="Oslo Sans Office" w:cs="Times New Roman"/>
                <w:color w:val="4EF8B6"/>
                <w:szCs w:val="20"/>
                <w:lang w:eastAsia="nb-NO"/>
              </w:rPr>
            </w:pPr>
            <w:r w:rsidRPr="00733E15">
              <w:rPr>
                <w:rFonts w:ascii="Oslo Sans Office" w:eastAsia="+mn-ea" w:hAnsi="Oslo Sans Office" w:cs="+mn-cs"/>
                <w:color w:val="000000"/>
                <w:kern w:val="24"/>
                <w:szCs w:val="20"/>
                <w:lang w:eastAsia="nb-NO"/>
              </w:rPr>
              <w:t xml:space="preserve">UKE-akademiet blir organisatorisk plassert som eget team i Seksjon for konsulenttjenester i Virksomhetsdialog. </w:t>
            </w:r>
          </w:p>
          <w:p w:rsidR="00733E15" w:rsidRPr="00733E15" w:rsidRDefault="00733E15" w:rsidP="00733E15">
            <w:pPr>
              <w:numPr>
                <w:ilvl w:val="0"/>
                <w:numId w:val="10"/>
              </w:numPr>
              <w:tabs>
                <w:tab w:val="num" w:pos="3600"/>
              </w:tabs>
              <w:spacing w:after="0" w:line="240" w:lineRule="auto"/>
              <w:contextualSpacing/>
              <w:rPr>
                <w:rFonts w:ascii="Oslo Sans Office" w:eastAsia="Times New Roman" w:hAnsi="Oslo Sans Office" w:cs="Times New Roman"/>
                <w:color w:val="4EF8B6"/>
                <w:szCs w:val="20"/>
                <w:lang w:eastAsia="nb-NO"/>
              </w:rPr>
            </w:pPr>
            <w:r w:rsidRPr="00733E15">
              <w:rPr>
                <w:rFonts w:ascii="Oslo Sans Office" w:eastAsia="+mn-ea" w:hAnsi="Oslo Sans Office" w:cs="+mn-cs"/>
                <w:color w:val="000000"/>
                <w:kern w:val="24"/>
                <w:szCs w:val="20"/>
                <w:lang w:eastAsia="nb-NO"/>
              </w:rPr>
              <w:t xml:space="preserve">To stillinger som rådgivere på strategiske konsernoppgaver blir organisatorisk plassert i Team organisasjon og ledelse i Seksjon konsulenttjenester i Virksomhetsdialog. </w:t>
            </w:r>
          </w:p>
          <w:p w:rsidR="00733E15" w:rsidRPr="00733E15" w:rsidRDefault="00733E15" w:rsidP="00733E1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Oslo Sans Office" w:eastAsia="Times New Roman" w:hAnsi="Oslo Sans Office" w:cs="Times New Roman"/>
                <w:szCs w:val="20"/>
                <w:lang w:eastAsia="nb-NO"/>
              </w:rPr>
            </w:pPr>
            <w:r w:rsidRPr="00733E15">
              <w:rPr>
                <w:rFonts w:ascii="Oslo Sans Office" w:eastAsia="Times New Roman" w:hAnsi="Oslo Sans Office" w:cs="Times New Roman"/>
                <w:szCs w:val="20"/>
                <w:lang w:eastAsia="nb-NO"/>
              </w:rPr>
              <w:t xml:space="preserve">Konsulenter innen LEAN og tjenestedesign flyttes inn under team Organisasjon og Ledelse. </w:t>
            </w:r>
          </w:p>
          <w:p w:rsidR="00733E15" w:rsidRPr="00733E15" w:rsidRDefault="00733E15" w:rsidP="00733E1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Oslo Sans Office" w:eastAsia="Times New Roman" w:hAnsi="Oslo Sans Office" w:cs="Times New Roman"/>
                <w:szCs w:val="20"/>
                <w:lang w:eastAsia="nb-NO"/>
              </w:rPr>
            </w:pPr>
            <w:r w:rsidRPr="00733E15">
              <w:rPr>
                <w:rFonts w:ascii="Oslo Sans Office" w:eastAsia="Times New Roman" w:hAnsi="Oslo Sans Office" w:cs="Times New Roman"/>
                <w:szCs w:val="20"/>
                <w:lang w:eastAsia="nb-NO"/>
              </w:rPr>
              <w:t xml:space="preserve">Konsulenter innen prosjektledelse flyttes inn under team Anskaffelser. </w:t>
            </w:r>
          </w:p>
          <w:p w:rsidR="00733E15" w:rsidRPr="00733E15" w:rsidRDefault="00733E15" w:rsidP="00733E15">
            <w:pPr>
              <w:numPr>
                <w:ilvl w:val="0"/>
                <w:numId w:val="10"/>
              </w:numPr>
              <w:tabs>
                <w:tab w:val="num" w:pos="3600"/>
              </w:tabs>
              <w:spacing w:after="0" w:line="240" w:lineRule="auto"/>
              <w:contextualSpacing/>
              <w:rPr>
                <w:rFonts w:ascii="Oslo Sans Office" w:eastAsia="Times New Roman" w:hAnsi="Oslo Sans Office" w:cs="Times New Roman"/>
                <w:szCs w:val="20"/>
                <w:lang w:eastAsia="nb-NO"/>
              </w:rPr>
            </w:pPr>
            <w:r w:rsidRPr="00733E15">
              <w:rPr>
                <w:rFonts w:ascii="Oslo Sans Office" w:eastAsia="Times New Roman" w:hAnsi="Oslo Sans Office" w:cs="Times New Roman"/>
                <w:szCs w:val="20"/>
                <w:lang w:eastAsia="nb-NO"/>
              </w:rPr>
              <w:t>Konsulenter innen rekruttering tas ut av team Organisasjon og ledelse og rapporterer direkte til seksjonsleder</w:t>
            </w:r>
          </w:p>
          <w:p w:rsidR="00733E15" w:rsidRPr="00733E15" w:rsidRDefault="00733E15" w:rsidP="00733E15">
            <w:pPr>
              <w:numPr>
                <w:ilvl w:val="0"/>
                <w:numId w:val="10"/>
              </w:numPr>
              <w:tabs>
                <w:tab w:val="num" w:pos="3600"/>
              </w:tabs>
              <w:spacing w:after="0" w:line="240" w:lineRule="auto"/>
              <w:contextualSpacing/>
              <w:rPr>
                <w:rFonts w:ascii="Oslo Sans Office" w:eastAsia="Times New Roman" w:hAnsi="Oslo Sans Office" w:cs="Times New Roman"/>
                <w:color w:val="4EF8B6"/>
                <w:szCs w:val="20"/>
                <w:lang w:eastAsia="nb-NO"/>
              </w:rPr>
            </w:pPr>
            <w:r w:rsidRPr="00733E15">
              <w:rPr>
                <w:rFonts w:ascii="Oslo Sans Office" w:eastAsia="+mn-ea" w:hAnsi="Oslo Sans Office" w:cs="+mn-cs"/>
                <w:color w:val="000000"/>
                <w:kern w:val="24"/>
                <w:szCs w:val="20"/>
                <w:lang w:eastAsia="nb-NO"/>
              </w:rPr>
              <w:t xml:space="preserve">Koordinering av satsningsområder med oppfølging av fagnettverk innen beste praksis: Det legges til linjen å følge opp de enkelte fagnettverkene. </w:t>
            </w:r>
          </w:p>
          <w:p w:rsidR="00733E15" w:rsidRPr="00733E15" w:rsidRDefault="00733E15" w:rsidP="00733E15">
            <w:pPr>
              <w:numPr>
                <w:ilvl w:val="0"/>
                <w:numId w:val="10"/>
              </w:numPr>
              <w:tabs>
                <w:tab w:val="num" w:pos="3600"/>
              </w:tabs>
              <w:spacing w:after="0" w:line="240" w:lineRule="auto"/>
              <w:contextualSpacing/>
              <w:rPr>
                <w:rFonts w:ascii="Oslo Sans Office" w:eastAsia="Times New Roman" w:hAnsi="Oslo Sans Office" w:cs="Times New Roman"/>
                <w:color w:val="4EF8B6"/>
                <w:szCs w:val="20"/>
                <w:lang w:eastAsia="nb-NO"/>
              </w:rPr>
            </w:pPr>
            <w:r w:rsidRPr="00733E15">
              <w:rPr>
                <w:rFonts w:ascii="Oslo Sans Office" w:eastAsia="+mn-ea" w:hAnsi="Oslo Sans Office" w:cs="+mn-cs"/>
                <w:color w:val="000000"/>
                <w:kern w:val="24"/>
                <w:szCs w:val="20"/>
                <w:lang w:eastAsia="nb-NO"/>
              </w:rPr>
              <w:t>Seksjon for konsulenttjenester endrer navn til Seksjon for virksomhetsutvikling.</w:t>
            </w:r>
          </w:p>
          <w:p w:rsidR="00733E15" w:rsidRPr="00733E15" w:rsidRDefault="00733E15" w:rsidP="00733E15">
            <w:pPr>
              <w:numPr>
                <w:ilvl w:val="0"/>
                <w:numId w:val="10"/>
              </w:numPr>
              <w:tabs>
                <w:tab w:val="num" w:pos="3600"/>
              </w:tabs>
              <w:spacing w:after="0" w:line="240" w:lineRule="auto"/>
              <w:contextualSpacing/>
              <w:rPr>
                <w:rFonts w:ascii="Oslo Sans Office" w:eastAsia="Times New Roman" w:hAnsi="Oslo Sans Office" w:cs="Times New Roman"/>
                <w:color w:val="4EF8B6"/>
                <w:szCs w:val="20"/>
                <w:lang w:eastAsia="nb-NO"/>
              </w:rPr>
            </w:pPr>
            <w:r w:rsidRPr="00733E15">
              <w:rPr>
                <w:rFonts w:ascii="Oslo Sans Office" w:eastAsia="+mn-ea" w:hAnsi="Oslo Sans Office" w:cs="+mn-cs"/>
                <w:color w:val="000000"/>
                <w:kern w:val="24"/>
                <w:szCs w:val="20"/>
                <w:lang w:eastAsia="nb-NO"/>
              </w:rPr>
              <w:t>Avdeling for konsernservice endrer navn til Avdeling for konserninnkjøp, da personalomstilling g</w:t>
            </w:r>
            <w:r w:rsidR="00C65969">
              <w:rPr>
                <w:rFonts w:ascii="Oslo Sans Office" w:eastAsia="+mn-ea" w:hAnsi="Oslo Sans Office" w:cs="+mn-cs"/>
                <w:color w:val="000000"/>
                <w:kern w:val="24"/>
                <w:szCs w:val="20"/>
                <w:lang w:eastAsia="nb-NO"/>
              </w:rPr>
              <w:t>år ut og resterende i avdelingen</w:t>
            </w:r>
            <w:r w:rsidRPr="00733E15">
              <w:rPr>
                <w:rFonts w:ascii="Oslo Sans Office" w:eastAsia="+mn-ea" w:hAnsi="Oslo Sans Office" w:cs="+mn-cs"/>
                <w:color w:val="000000"/>
                <w:kern w:val="24"/>
                <w:szCs w:val="20"/>
                <w:lang w:eastAsia="nb-NO"/>
              </w:rPr>
              <w:t xml:space="preserve"> er tilknyttet samme fagområde. </w:t>
            </w:r>
          </w:p>
          <w:p w:rsidR="00733E15" w:rsidRDefault="00733E15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AD42AC" w:rsidRPr="00AD42AC" w:rsidRDefault="00AD42AC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AD42AC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 xml:space="preserve">De arbeidsmiljømessige konsekvensene er beskrevet i egen sak til AMU. </w:t>
            </w:r>
          </w:p>
          <w:p w:rsidR="00AD42AC" w:rsidRDefault="00AD42AC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C8089A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Konklusjon og vurdering</w:t>
            </w:r>
          </w:p>
          <w:p w:rsidR="00AD42AC" w:rsidRPr="007D7E44" w:rsidRDefault="00AD42AC" w:rsidP="00AD42AC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>
              <w:rPr>
                <w:rFonts w:asciiTheme="majorHAnsi" w:eastAsia="Calibri" w:hAnsiTheme="majorHAnsi" w:cs="Calibri"/>
                <w:szCs w:val="20"/>
              </w:rPr>
              <w:t xml:space="preserve">Etatsdirektøren anser det som helt nødvendig at nevnte </w:t>
            </w:r>
            <w:r w:rsidRPr="00C8089A">
              <w:rPr>
                <w:rFonts w:asciiTheme="majorHAnsi" w:eastAsia="Calibri" w:hAnsiTheme="majorHAnsi" w:cs="Calibri"/>
                <w:szCs w:val="20"/>
              </w:rPr>
              <w:t xml:space="preserve">kjerneoppgaver 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innen ledelse, OU, personalomstilling og strategisk HR </w:t>
            </w:r>
            <w:r w:rsidRPr="00C8089A">
              <w:rPr>
                <w:rFonts w:asciiTheme="majorHAnsi" w:eastAsia="Calibri" w:hAnsiTheme="majorHAnsi" w:cs="Calibri"/>
                <w:szCs w:val="20"/>
              </w:rPr>
              <w:t>or</w:t>
            </w:r>
            <w:r w:rsidR="002F6D39">
              <w:rPr>
                <w:rFonts w:asciiTheme="majorHAnsi" w:eastAsia="Calibri" w:hAnsiTheme="majorHAnsi" w:cs="Calibri"/>
                <w:szCs w:val="20"/>
              </w:rPr>
              <w:t>ganiseres i et og samme fagmiljø,</w:t>
            </w:r>
            <w:r w:rsidR="0026531D">
              <w:rPr>
                <w:rFonts w:asciiTheme="majorHAnsi" w:eastAsia="Calibri" w:hAnsiTheme="majorHAnsi" w:cs="Calibri"/>
                <w:szCs w:val="20"/>
              </w:rPr>
              <w:t xml:space="preserve"> for bedre bruk av kompetanse på tvers, stabilitet for de ansatte og </w:t>
            </w:r>
            <w:r w:rsidR="00A66D79">
              <w:rPr>
                <w:rFonts w:asciiTheme="majorHAnsi" w:eastAsia="Calibri" w:hAnsiTheme="majorHAnsi" w:cs="Calibri"/>
                <w:szCs w:val="20"/>
              </w:rPr>
              <w:t xml:space="preserve">mer </w:t>
            </w:r>
            <w:r w:rsidR="0026531D">
              <w:rPr>
                <w:rFonts w:asciiTheme="majorHAnsi" w:eastAsia="Calibri" w:hAnsiTheme="majorHAnsi" w:cs="Calibri"/>
                <w:szCs w:val="20"/>
              </w:rPr>
              <w:t>robust</w:t>
            </w:r>
            <w:r>
              <w:rPr>
                <w:rFonts w:asciiTheme="majorHAnsi" w:eastAsia="Calibri" w:hAnsiTheme="majorHAnsi" w:cs="Calibri"/>
                <w:szCs w:val="20"/>
              </w:rPr>
              <w:t xml:space="preserve"> leveransekapasitet fremover. </w:t>
            </w:r>
          </w:p>
          <w:p w:rsidR="00AD42AC" w:rsidRDefault="00AD42AC" w:rsidP="00C8089A">
            <w:pPr>
              <w:rPr>
                <w:rFonts w:asciiTheme="majorHAnsi" w:hAnsiTheme="majorHAnsi"/>
                <w:b/>
                <w:szCs w:val="20"/>
              </w:rPr>
            </w:pPr>
          </w:p>
          <w:p w:rsidR="00AD42AC" w:rsidRDefault="006D3FED" w:rsidP="0093288E">
            <w:pPr>
              <w:spacing w:line="240" w:lineRule="auto"/>
              <w:rPr>
                <w:rFonts w:asciiTheme="majorHAnsi" w:hAnsiTheme="majorHAnsi"/>
                <w:b/>
                <w:szCs w:val="20"/>
              </w:rPr>
            </w:pPr>
            <w:r w:rsidRPr="00AD42AC">
              <w:rPr>
                <w:rFonts w:asciiTheme="majorHAnsi" w:hAnsiTheme="majorHAnsi"/>
                <w:b/>
                <w:szCs w:val="20"/>
              </w:rPr>
              <w:t>Forslag til vedtak</w:t>
            </w:r>
          </w:p>
          <w:p w:rsidR="00C8089A" w:rsidRPr="00AD42AC" w:rsidRDefault="006D3FED" w:rsidP="0093288E">
            <w:pPr>
              <w:spacing w:line="240" w:lineRule="auto"/>
              <w:rPr>
                <w:rFonts w:asciiTheme="majorHAnsi" w:hAnsiTheme="majorHAnsi"/>
                <w:b/>
                <w:szCs w:val="20"/>
              </w:rPr>
            </w:pPr>
            <w:r w:rsidRPr="00C8089A">
              <w:rPr>
                <w:rFonts w:asciiTheme="majorHAnsi" w:hAnsiTheme="majorHAnsi"/>
                <w:szCs w:val="20"/>
              </w:rPr>
              <w:t xml:space="preserve">Medbestemmelsesutvalget slutter seg </w:t>
            </w:r>
            <w:r w:rsidR="00AF281F" w:rsidRPr="00C8089A">
              <w:rPr>
                <w:rFonts w:asciiTheme="majorHAnsi" w:hAnsiTheme="majorHAnsi"/>
                <w:szCs w:val="20"/>
              </w:rPr>
              <w:t>til foreligg</w:t>
            </w:r>
            <w:r w:rsidR="001E3473">
              <w:rPr>
                <w:rFonts w:asciiTheme="majorHAnsi" w:hAnsiTheme="majorHAnsi"/>
                <w:szCs w:val="20"/>
              </w:rPr>
              <w:t>ende forslag til organisatorisk</w:t>
            </w:r>
            <w:r w:rsidR="00A66D79">
              <w:rPr>
                <w:rFonts w:asciiTheme="majorHAnsi" w:hAnsiTheme="majorHAnsi"/>
                <w:szCs w:val="20"/>
              </w:rPr>
              <w:t>e</w:t>
            </w:r>
            <w:r w:rsidR="00AF281F" w:rsidRPr="00C8089A">
              <w:rPr>
                <w:rFonts w:asciiTheme="majorHAnsi" w:hAnsiTheme="majorHAnsi"/>
                <w:szCs w:val="20"/>
              </w:rPr>
              <w:t xml:space="preserve"> j</w:t>
            </w:r>
            <w:r w:rsidR="00C8089A">
              <w:rPr>
                <w:rFonts w:asciiTheme="majorHAnsi" w:hAnsiTheme="majorHAnsi"/>
                <w:szCs w:val="20"/>
              </w:rPr>
              <w:t>ustering</w:t>
            </w:r>
            <w:r w:rsidR="00A66D79">
              <w:rPr>
                <w:rFonts w:asciiTheme="majorHAnsi" w:hAnsiTheme="majorHAnsi"/>
                <w:szCs w:val="20"/>
              </w:rPr>
              <w:t>er</w:t>
            </w:r>
            <w:r w:rsidR="00C8089A">
              <w:rPr>
                <w:rFonts w:asciiTheme="majorHAnsi" w:hAnsiTheme="majorHAnsi"/>
                <w:szCs w:val="20"/>
              </w:rPr>
              <w:t xml:space="preserve"> av varig karakter som beskrevet i saken. </w:t>
            </w:r>
            <w:r w:rsidR="00AF281F" w:rsidRPr="00AF281F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Justering av organisatorisk tilhørighet for nevnte fagområder </w:t>
            </w:r>
            <w:r w:rsidR="0026531D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med administrative konsekvenser </w:t>
            </w:r>
            <w:r w:rsidR="00AF281F" w:rsidRPr="00AF281F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iverksettes med virkning fra 1. september 2020. </w:t>
            </w:r>
          </w:p>
          <w:p w:rsidR="006D3FED" w:rsidRPr="0026531D" w:rsidRDefault="00AF281F" w:rsidP="006D3FED">
            <w:pPr>
              <w:rPr>
                <w:rFonts w:asciiTheme="majorHAnsi" w:hAnsiTheme="majorHAnsi"/>
                <w:szCs w:val="20"/>
              </w:rPr>
            </w:pPr>
            <w:r w:rsidRPr="00AF281F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Det skal vurderes å gjøre ytterligere organisatoriske justeringer for å samle fagmiljøer der dette vurderes som hensiktsmessig i løpet av høsten. </w:t>
            </w:r>
            <w:r w:rsidR="00C8089A">
              <w:rPr>
                <w:rFonts w:asciiTheme="majorHAnsi" w:eastAsia="+mn-ea" w:hAnsiTheme="majorHAnsi" w:cs="+mn-cs"/>
                <w:color w:val="000000"/>
                <w:kern w:val="24"/>
                <w:szCs w:val="20"/>
                <w:lang w:eastAsia="nb-NO"/>
              </w:rPr>
              <w:t xml:space="preserve">Ytterligere forslag til endringer vil bli lagt frem for AMU og MBU til behandling. </w:t>
            </w:r>
          </w:p>
          <w:p w:rsidR="00AD42AC" w:rsidRPr="0093288E" w:rsidRDefault="006D3FED" w:rsidP="006D3FED">
            <w:pPr>
              <w:rPr>
                <w:rFonts w:asciiTheme="majorHAnsi" w:hAnsiTheme="majorHAnsi"/>
                <w:szCs w:val="20"/>
                <w:u w:val="single"/>
              </w:rPr>
            </w:pPr>
            <w:r w:rsidRPr="00C8089A">
              <w:rPr>
                <w:rFonts w:asciiTheme="majorHAnsi" w:hAnsiTheme="majorHAnsi"/>
                <w:szCs w:val="20"/>
                <w:u w:val="single"/>
              </w:rPr>
              <w:t>Vedlegg</w:t>
            </w:r>
            <w:r w:rsidR="00AD42AC">
              <w:rPr>
                <w:rFonts w:asciiTheme="majorHAnsi" w:hAnsiTheme="majorHAnsi"/>
                <w:szCs w:val="20"/>
                <w:u w:val="single"/>
              </w:rPr>
              <w:t>:</w:t>
            </w:r>
            <w:r w:rsidR="0093288E">
              <w:rPr>
                <w:rFonts w:asciiTheme="majorHAnsi" w:hAnsiTheme="majorHAnsi"/>
                <w:szCs w:val="20"/>
                <w:u w:val="single"/>
              </w:rPr>
              <w:t xml:space="preserve"> </w:t>
            </w:r>
            <w:r w:rsidR="00AD42AC" w:rsidRPr="00AD42AC">
              <w:rPr>
                <w:rFonts w:asciiTheme="majorHAnsi" w:hAnsiTheme="majorHAnsi"/>
                <w:szCs w:val="20"/>
              </w:rPr>
              <w:t xml:space="preserve">Nytt organisasjonskart for Seksjon for konsulenttjenester gjeldende fra 1.9.2020. </w:t>
            </w:r>
          </w:p>
          <w:p w:rsidR="006D3FED" w:rsidRPr="00C8089A" w:rsidRDefault="006D3FED" w:rsidP="006D3FED">
            <w:pPr>
              <w:ind w:left="360"/>
              <w:rPr>
                <w:rFonts w:asciiTheme="majorHAnsi" w:hAnsiTheme="majorHAnsi"/>
                <w:szCs w:val="20"/>
              </w:rPr>
            </w:pPr>
          </w:p>
          <w:p w:rsidR="0041004E" w:rsidRPr="00C8089A" w:rsidRDefault="0041004E" w:rsidP="006D3FED">
            <w:pPr>
              <w:pStyle w:val="Overskrift1"/>
              <w:outlineLvl w:val="0"/>
              <w:rPr>
                <w:sz w:val="20"/>
                <w:szCs w:val="20"/>
              </w:rPr>
            </w:pPr>
          </w:p>
        </w:tc>
      </w:tr>
    </w:tbl>
    <w:p w:rsidR="006E006E" w:rsidRDefault="006E006E" w:rsidP="0026531D">
      <w:pPr>
        <w:pStyle w:val="Ingenmellomrom"/>
        <w:keepNext/>
        <w:keepLines/>
      </w:pPr>
    </w:p>
    <w:sectPr w:rsidR="006E006E" w:rsidSect="00D44A50">
      <w:headerReference w:type="first" r:id="rId9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637pt" o:bullet="t">
        <v:imagedata r:id="rId1" o:title="art6742"/>
      </v:shape>
    </w:pict>
  </w:numPicBullet>
  <w:abstractNum w:abstractNumId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A"/>
    <w:rsid w:val="000119BE"/>
    <w:rsid w:val="000223B1"/>
    <w:rsid w:val="00037D6F"/>
    <w:rsid w:val="00095EC1"/>
    <w:rsid w:val="0011057B"/>
    <w:rsid w:val="00186573"/>
    <w:rsid w:val="0019374D"/>
    <w:rsid w:val="001E3473"/>
    <w:rsid w:val="001F112F"/>
    <w:rsid w:val="001F4CB8"/>
    <w:rsid w:val="0025699D"/>
    <w:rsid w:val="0026531D"/>
    <w:rsid w:val="002A2DE5"/>
    <w:rsid w:val="002B39C4"/>
    <w:rsid w:val="002F6D39"/>
    <w:rsid w:val="00325D57"/>
    <w:rsid w:val="0041004E"/>
    <w:rsid w:val="00483FE0"/>
    <w:rsid w:val="00503CDA"/>
    <w:rsid w:val="0055183B"/>
    <w:rsid w:val="00560D31"/>
    <w:rsid w:val="00567104"/>
    <w:rsid w:val="005714FC"/>
    <w:rsid w:val="005812E4"/>
    <w:rsid w:val="00595FDC"/>
    <w:rsid w:val="005D093C"/>
    <w:rsid w:val="005D1471"/>
    <w:rsid w:val="005D7E3E"/>
    <w:rsid w:val="00646761"/>
    <w:rsid w:val="00666313"/>
    <w:rsid w:val="006D3FED"/>
    <w:rsid w:val="006E006E"/>
    <w:rsid w:val="00727D7C"/>
    <w:rsid w:val="00733E15"/>
    <w:rsid w:val="007D1113"/>
    <w:rsid w:val="007D7E44"/>
    <w:rsid w:val="007E4B0D"/>
    <w:rsid w:val="0085172A"/>
    <w:rsid w:val="008B4B9A"/>
    <w:rsid w:val="008C5DE9"/>
    <w:rsid w:val="008D5723"/>
    <w:rsid w:val="008F0992"/>
    <w:rsid w:val="0093288E"/>
    <w:rsid w:val="009A11C5"/>
    <w:rsid w:val="009F7380"/>
    <w:rsid w:val="00A0208E"/>
    <w:rsid w:val="00A035A1"/>
    <w:rsid w:val="00A63656"/>
    <w:rsid w:val="00A66D79"/>
    <w:rsid w:val="00A67238"/>
    <w:rsid w:val="00AA100D"/>
    <w:rsid w:val="00AC09E6"/>
    <w:rsid w:val="00AD42AC"/>
    <w:rsid w:val="00AE19AF"/>
    <w:rsid w:val="00AF281F"/>
    <w:rsid w:val="00B10DAE"/>
    <w:rsid w:val="00C51925"/>
    <w:rsid w:val="00C644F8"/>
    <w:rsid w:val="00C65969"/>
    <w:rsid w:val="00C8089A"/>
    <w:rsid w:val="00C93F97"/>
    <w:rsid w:val="00D25FF3"/>
    <w:rsid w:val="00D44A50"/>
    <w:rsid w:val="00D44FE9"/>
    <w:rsid w:val="00D66BE0"/>
    <w:rsid w:val="00D74702"/>
    <w:rsid w:val="00D8326C"/>
    <w:rsid w:val="00DB35DE"/>
    <w:rsid w:val="00DC156E"/>
    <w:rsid w:val="00E51F3C"/>
    <w:rsid w:val="00E65E1A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0</TotalTime>
  <Pages>2</Pages>
  <Words>753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Meld inn i Domenet</cp:lastModifiedBy>
  <cp:revision>2</cp:revision>
  <dcterms:created xsi:type="dcterms:W3CDTF">2020-07-03T13:11:00Z</dcterms:created>
  <dcterms:modified xsi:type="dcterms:W3CDTF">2020-07-03T13:11:00Z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