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bottomFromText="669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RPr="004401C6" w:rsidTr="004401C6">
        <w:trPr>
          <w:gridAfter w:val="1"/>
          <w:wAfter w:w="2635" w:type="dxa"/>
          <w:trHeight w:hRule="exact" w:val="1287"/>
        </w:trPr>
        <w:tc>
          <w:tcPr>
            <w:tcW w:w="6635" w:type="dxa"/>
            <w:shd w:val="clear" w:color="auto" w:fill="auto"/>
          </w:tcPr>
          <w:p w:rsidR="00C51925" w:rsidRPr="004401C6" w:rsidRDefault="00D66BE0" w:rsidP="004401C6">
            <w:pPr>
              <w:pStyle w:val="Tittel"/>
              <w:rPr>
                <w:szCs w:val="38"/>
              </w:rPr>
            </w:pPr>
            <w:r w:rsidRPr="004401C6">
              <w:t>Utviklings- og kompetanseetaten</w:t>
            </w:r>
          </w:p>
        </w:tc>
      </w:tr>
      <w:tr w:rsidR="0041004E" w:rsidRPr="004401C6" w:rsidTr="004401C6">
        <w:trPr>
          <w:trHeight w:val="480"/>
        </w:trPr>
        <w:tc>
          <w:tcPr>
            <w:tcW w:w="9270" w:type="dxa"/>
            <w:gridSpan w:val="2"/>
            <w:shd w:val="clear" w:color="auto" w:fill="auto"/>
          </w:tcPr>
          <w:p w:rsidR="006D3FED" w:rsidRPr="004401C6" w:rsidRDefault="006D3FED" w:rsidP="004401C6">
            <w:pPr>
              <w:pStyle w:val="Overskrift1"/>
              <w:ind w:right="482"/>
              <w:rPr>
                <w:sz w:val="20"/>
                <w:szCs w:val="20"/>
              </w:rPr>
            </w:pPr>
            <w:r w:rsidRPr="004401C6">
              <w:rPr>
                <w:sz w:val="20"/>
                <w:szCs w:val="20"/>
              </w:rPr>
              <w:t>Medbestemmelsesutvalget (MBU)</w:t>
            </w:r>
          </w:p>
          <w:p w:rsidR="007D7E44" w:rsidRPr="004401C6" w:rsidRDefault="00E02907" w:rsidP="004401C6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</w:pPr>
            <w:r w:rsidRPr="004401C6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 xml:space="preserve">MBU-sak </w:t>
            </w:r>
            <w:r w:rsidR="004A2C47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13</w:t>
            </w:r>
            <w:r w:rsidR="007D7E44" w:rsidRPr="004401C6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:rsidR="007D7E44" w:rsidRPr="004401C6" w:rsidRDefault="007D7E44" w:rsidP="004401C6">
            <w:pPr>
              <w:pBdr>
                <w:bottom w:val="single" w:sz="4" w:space="1" w:color="auto"/>
              </w:pBd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p w:rsidR="007D7E44" w:rsidRPr="004401C6" w:rsidRDefault="007D7E44" w:rsidP="004401C6">
            <w:pP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4401C6" w:rsidTr="00EB7D03">
              <w:trPr>
                <w:trHeight w:val="340"/>
              </w:trPr>
              <w:tc>
                <w:tcPr>
                  <w:tcW w:w="1418" w:type="dxa"/>
                </w:tcPr>
                <w:p w:rsidR="007D7E44" w:rsidRPr="004401C6" w:rsidRDefault="007D7E44" w:rsidP="004401C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4401C6" w:rsidRDefault="007D7E44" w:rsidP="004401C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szCs w:val="20"/>
                      <w:lang w:eastAsia="nb-NO"/>
                    </w:rPr>
                    <w:t>MBU i UKE</w:t>
                  </w:r>
                </w:p>
              </w:tc>
              <w:tc>
                <w:tcPr>
                  <w:tcW w:w="3410" w:type="dxa"/>
                </w:tcPr>
                <w:p w:rsidR="007D7E44" w:rsidRPr="004401C6" w:rsidRDefault="00E02907" w:rsidP="004401C6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Dato: 27</w:t>
                  </w:r>
                  <w:r w:rsidR="007D7E44"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.</w:t>
                  </w: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08.</w:t>
                  </w:r>
                  <w:r w:rsidR="007D7E44"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2020</w:t>
                  </w:r>
                </w:p>
              </w:tc>
            </w:tr>
            <w:tr w:rsidR="007D7E44" w:rsidRPr="004401C6" w:rsidTr="00EB7D03">
              <w:trPr>
                <w:trHeight w:val="340"/>
              </w:trPr>
              <w:tc>
                <w:tcPr>
                  <w:tcW w:w="1418" w:type="dxa"/>
                </w:tcPr>
                <w:p w:rsidR="007D7E44" w:rsidRPr="004401C6" w:rsidRDefault="007D7E44" w:rsidP="004401C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4401C6" w:rsidRDefault="007D7E44" w:rsidP="004401C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4401C6" w:rsidRDefault="007D7E44" w:rsidP="004401C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7D7E44" w:rsidRPr="004401C6" w:rsidTr="00EB7D03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4401C6" w:rsidRDefault="007D7E44" w:rsidP="004401C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4401C6" w:rsidRDefault="007D7E44" w:rsidP="004401C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4401C6" w:rsidRDefault="007D7E44" w:rsidP="004401C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4401C6" w:rsidRDefault="007D7E44" w:rsidP="004401C6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>SAK TIL MBU:</w:t>
            </w:r>
          </w:p>
          <w:p w:rsidR="007D7E44" w:rsidRPr="004401C6" w:rsidRDefault="00E02907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 xml:space="preserve">Endring av organisatorisk plassering for </w:t>
            </w:r>
            <w:proofErr w:type="spellStart"/>
            <w:r w:rsidRPr="004401C6">
              <w:rPr>
                <w:rFonts w:eastAsia="Times New Roman"/>
                <w:b/>
                <w:szCs w:val="20"/>
                <w:lang w:eastAsia="nb-NO"/>
              </w:rPr>
              <w:t>UKEs</w:t>
            </w:r>
            <w:proofErr w:type="spellEnd"/>
            <w:r w:rsidRPr="004401C6">
              <w:rPr>
                <w:rFonts w:eastAsia="Times New Roman"/>
                <w:b/>
                <w:szCs w:val="20"/>
                <w:lang w:eastAsia="nb-NO"/>
              </w:rPr>
              <w:t xml:space="preserve"> servicesenter</w:t>
            </w:r>
          </w:p>
          <w:p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7D7E44" w:rsidRPr="004401C6" w:rsidRDefault="007D7E44" w:rsidP="004401C6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  <w:r w:rsidRPr="004401C6">
              <w:rPr>
                <w:rFonts w:eastAsia="Calibri" w:cs="Calibri"/>
                <w:b/>
                <w:szCs w:val="20"/>
              </w:rPr>
              <w:t>Saksfremstilling</w:t>
            </w:r>
          </w:p>
          <w:p w:rsidR="00120855" w:rsidRPr="004401C6" w:rsidRDefault="00120855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 xml:space="preserve">To år etter </w:t>
            </w:r>
            <w:r w:rsidR="00C8089A" w:rsidRPr="004401C6">
              <w:rPr>
                <w:rFonts w:eastAsia="Calibri" w:cs="Calibri"/>
                <w:szCs w:val="20"/>
              </w:rPr>
              <w:t>omorganiseringen</w:t>
            </w:r>
            <w:r w:rsidRPr="004401C6">
              <w:rPr>
                <w:rFonts w:eastAsia="Calibri" w:cs="Calibri"/>
                <w:szCs w:val="20"/>
              </w:rPr>
              <w:t xml:space="preserve"> som ble iverksatt 1. juni 2018 ser etatsdirektøren det som nødvendig å gjøre en organisatorisk justering innen </w:t>
            </w:r>
            <w:r w:rsidR="003D45D0" w:rsidRPr="004401C6">
              <w:rPr>
                <w:rFonts w:eastAsia="Calibri" w:cs="Calibri"/>
                <w:szCs w:val="20"/>
              </w:rPr>
              <w:t xml:space="preserve">hoveddelen av </w:t>
            </w:r>
            <w:r w:rsidRPr="004401C6">
              <w:rPr>
                <w:rFonts w:eastAsia="Calibri" w:cs="Calibri"/>
                <w:szCs w:val="20"/>
              </w:rPr>
              <w:t xml:space="preserve">etatens supportfunksjon. Bakgrunnen for dette er </w:t>
            </w:r>
            <w:r w:rsidR="003D45D0" w:rsidRPr="004401C6">
              <w:rPr>
                <w:rFonts w:eastAsia="Calibri" w:cs="Calibri"/>
                <w:szCs w:val="20"/>
              </w:rPr>
              <w:t xml:space="preserve">behovet for å sikre </w:t>
            </w:r>
            <w:r w:rsidRPr="004401C6">
              <w:rPr>
                <w:rFonts w:eastAsia="Calibri" w:cs="Calibri"/>
                <w:szCs w:val="20"/>
              </w:rPr>
              <w:t xml:space="preserve">mer effektiv og </w:t>
            </w:r>
            <w:r w:rsidR="003D45D0" w:rsidRPr="004401C6">
              <w:rPr>
                <w:rFonts w:eastAsia="Calibri" w:cs="Calibri"/>
                <w:szCs w:val="20"/>
              </w:rPr>
              <w:t>smidig</w:t>
            </w:r>
            <w:r w:rsidRPr="004401C6">
              <w:rPr>
                <w:rFonts w:eastAsia="Calibri" w:cs="Calibri"/>
                <w:szCs w:val="20"/>
              </w:rPr>
              <w:t xml:space="preserve"> samhandling mellom de interne fagmiljøene innen support/brukerstøtte og å a</w:t>
            </w:r>
            <w:r w:rsidR="00CC2B8E" w:rsidRPr="004401C6">
              <w:rPr>
                <w:rFonts w:eastAsia="Calibri" w:cs="Calibri"/>
                <w:szCs w:val="20"/>
              </w:rPr>
              <w:t xml:space="preserve">rbeide for økt løsningsgrad i </w:t>
            </w:r>
            <w:r w:rsidRPr="004401C6">
              <w:rPr>
                <w:rFonts w:eastAsia="Calibri" w:cs="Calibri"/>
                <w:szCs w:val="20"/>
              </w:rPr>
              <w:t xml:space="preserve">kundens møte med UKE. </w:t>
            </w:r>
          </w:p>
          <w:p w:rsidR="003246B2" w:rsidRPr="004401C6" w:rsidRDefault="00CC2B8E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 xml:space="preserve">Det er gjennomført en </w:t>
            </w:r>
            <w:r w:rsidR="003246B2" w:rsidRPr="004401C6">
              <w:rPr>
                <w:rFonts w:eastAsia="Calibri" w:cs="Calibri"/>
                <w:szCs w:val="20"/>
              </w:rPr>
              <w:t xml:space="preserve">grundig </w:t>
            </w:r>
            <w:r w:rsidRPr="004401C6">
              <w:rPr>
                <w:rFonts w:eastAsia="Calibri" w:cs="Calibri"/>
                <w:szCs w:val="20"/>
              </w:rPr>
              <w:t>arbeids</w:t>
            </w:r>
            <w:r w:rsidR="003246B2" w:rsidRPr="004401C6">
              <w:rPr>
                <w:rFonts w:eastAsia="Calibri" w:cs="Calibri"/>
                <w:szCs w:val="20"/>
              </w:rPr>
              <w:t xml:space="preserve">prosess hvor representanter fra flere </w:t>
            </w:r>
            <w:r w:rsidR="003D45D0" w:rsidRPr="004401C6">
              <w:rPr>
                <w:rFonts w:eastAsia="Calibri" w:cs="Calibri"/>
                <w:szCs w:val="20"/>
              </w:rPr>
              <w:t xml:space="preserve">avdelinger og </w:t>
            </w:r>
            <w:r w:rsidR="003246B2" w:rsidRPr="004401C6">
              <w:rPr>
                <w:rFonts w:eastAsia="Calibri" w:cs="Calibri"/>
                <w:szCs w:val="20"/>
              </w:rPr>
              <w:t>seksjoner i etaten har deltatt for gjennomgang, kartlegging og drøfting av ulike forslag for organisering av supportfunksjonen frem i tid. Dette arbeidet har blitt presentert for etatsdirektørens ledergruppe og ulike alternativer f</w:t>
            </w:r>
            <w:r w:rsidR="003D45D0" w:rsidRPr="004401C6">
              <w:rPr>
                <w:rFonts w:eastAsia="Calibri" w:cs="Calibri"/>
                <w:szCs w:val="20"/>
              </w:rPr>
              <w:t xml:space="preserve">or organisering er drøftet </w:t>
            </w:r>
            <w:r w:rsidR="003246B2" w:rsidRPr="004401C6">
              <w:rPr>
                <w:rFonts w:eastAsia="Calibri" w:cs="Calibri"/>
                <w:szCs w:val="20"/>
              </w:rPr>
              <w:t>der. Endelig tilslutning fra ledergruppen på fremtidig organisering av hoveddelen av etat</w:t>
            </w:r>
            <w:r w:rsidR="00C83C03">
              <w:rPr>
                <w:rFonts w:eastAsia="Calibri" w:cs="Calibri"/>
                <w:szCs w:val="20"/>
              </w:rPr>
              <w:t>ens supportfunksjon presenteres</w:t>
            </w:r>
            <w:r w:rsidRPr="004401C6">
              <w:rPr>
                <w:rFonts w:eastAsia="Calibri" w:cs="Calibri"/>
                <w:szCs w:val="20"/>
              </w:rPr>
              <w:t xml:space="preserve"> </w:t>
            </w:r>
            <w:r w:rsidR="003246B2" w:rsidRPr="004401C6">
              <w:rPr>
                <w:rFonts w:eastAsia="Calibri" w:cs="Calibri"/>
                <w:szCs w:val="20"/>
              </w:rPr>
              <w:t xml:space="preserve">i foreliggende sak. </w:t>
            </w:r>
            <w:r w:rsidR="003D45D0" w:rsidRPr="004401C6">
              <w:rPr>
                <w:rFonts w:eastAsia="Calibri" w:cs="Calibri"/>
                <w:szCs w:val="20"/>
              </w:rPr>
              <w:t>Forslaget omhandler</w:t>
            </w:r>
            <w:r w:rsidR="00A276F1" w:rsidRPr="004401C6">
              <w:rPr>
                <w:rFonts w:eastAsia="Calibri" w:cs="Calibri"/>
                <w:szCs w:val="20"/>
              </w:rPr>
              <w:t xml:space="preserve"> at USS; </w:t>
            </w:r>
            <w:proofErr w:type="spellStart"/>
            <w:r w:rsidR="00A276F1" w:rsidRPr="004401C6">
              <w:rPr>
                <w:rFonts w:eastAsia="Calibri" w:cs="Calibri"/>
                <w:szCs w:val="20"/>
              </w:rPr>
              <w:t>UKEs</w:t>
            </w:r>
            <w:proofErr w:type="spellEnd"/>
            <w:r w:rsidR="00A276F1" w:rsidRPr="004401C6">
              <w:rPr>
                <w:rFonts w:eastAsia="Calibri" w:cs="Calibri"/>
                <w:szCs w:val="20"/>
              </w:rPr>
              <w:t xml:space="preserve"> servicesenter flyttes </w:t>
            </w:r>
            <w:r w:rsidR="003D45D0" w:rsidRPr="004401C6">
              <w:rPr>
                <w:rFonts w:eastAsia="Calibri" w:cs="Calibri"/>
                <w:szCs w:val="20"/>
              </w:rPr>
              <w:t xml:space="preserve">organisatorisk </w:t>
            </w:r>
            <w:r w:rsidRPr="004401C6">
              <w:rPr>
                <w:rFonts w:eastAsia="Calibri" w:cs="Calibri"/>
                <w:szCs w:val="20"/>
              </w:rPr>
              <w:t xml:space="preserve">som seksjon </w:t>
            </w:r>
            <w:r w:rsidR="00A276F1" w:rsidRPr="004401C6">
              <w:rPr>
                <w:rFonts w:eastAsia="Calibri" w:cs="Calibri"/>
                <w:szCs w:val="20"/>
              </w:rPr>
              <w:t xml:space="preserve">til Avdeling for plattform og leveranse. </w:t>
            </w:r>
          </w:p>
          <w:p w:rsidR="003246B2" w:rsidRPr="004401C6" w:rsidRDefault="003246B2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1650B7" w:rsidRPr="004401C6" w:rsidRDefault="00037D6F" w:rsidP="004401C6">
            <w:pPr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>Begrunnelsen for</w:t>
            </w:r>
            <w:r w:rsidR="00A276F1" w:rsidRPr="004401C6">
              <w:rPr>
                <w:rFonts w:eastAsia="Calibri" w:cs="Calibri"/>
                <w:szCs w:val="20"/>
              </w:rPr>
              <w:t xml:space="preserve"> forslaget om å samle hoveddelen av etatens supportfunksjon i samme styringslinje</w:t>
            </w:r>
            <w:r w:rsidRPr="004401C6">
              <w:rPr>
                <w:rFonts w:eastAsia="Calibri" w:cs="Calibri"/>
                <w:szCs w:val="20"/>
              </w:rPr>
              <w:t xml:space="preserve"> er at man ønsker større grad av </w:t>
            </w:r>
            <w:r w:rsidR="00CC2B8E" w:rsidRPr="004401C6">
              <w:rPr>
                <w:rFonts w:eastAsia="Calibri" w:cs="Calibri"/>
                <w:szCs w:val="20"/>
              </w:rPr>
              <w:t>fleksibilitet og robusthet kapasitetsmessig samt økt faglig samhandling mellom fagmiljøene innen brukerstøtte og support</w:t>
            </w:r>
            <w:r w:rsidRPr="004401C6">
              <w:rPr>
                <w:rFonts w:eastAsia="Calibri" w:cs="Calibri"/>
                <w:szCs w:val="20"/>
              </w:rPr>
              <w:t xml:space="preserve">. Å organisere fagmiljøene sammen </w:t>
            </w:r>
            <w:r w:rsidR="00AD42AC" w:rsidRPr="004401C6">
              <w:rPr>
                <w:rFonts w:eastAsia="Calibri" w:cs="Calibri"/>
                <w:szCs w:val="20"/>
              </w:rPr>
              <w:t>vil kunne gi</w:t>
            </w:r>
            <w:r w:rsidRPr="004401C6">
              <w:rPr>
                <w:rFonts w:eastAsia="Calibri" w:cs="Calibri"/>
                <w:szCs w:val="20"/>
              </w:rPr>
              <w:t xml:space="preserve"> økt leveransekapasitet og bidra til å høyne f</w:t>
            </w:r>
            <w:r w:rsidR="003D45D0" w:rsidRPr="004401C6">
              <w:rPr>
                <w:rFonts w:eastAsia="Calibri" w:cs="Calibri"/>
                <w:szCs w:val="20"/>
              </w:rPr>
              <w:t>aglig kvalitet</w:t>
            </w:r>
            <w:r w:rsidR="00AD42AC" w:rsidRPr="004401C6">
              <w:rPr>
                <w:rFonts w:eastAsia="Calibri" w:cs="Calibri"/>
                <w:szCs w:val="20"/>
              </w:rPr>
              <w:t xml:space="preserve"> gjennom</w:t>
            </w:r>
            <w:r w:rsidRPr="004401C6">
              <w:rPr>
                <w:rFonts w:eastAsia="Calibri" w:cs="Calibri"/>
                <w:szCs w:val="20"/>
              </w:rPr>
              <w:t xml:space="preserve"> mo</w:t>
            </w:r>
            <w:r w:rsidR="00A276F1" w:rsidRPr="004401C6">
              <w:rPr>
                <w:rFonts w:eastAsia="Calibri" w:cs="Calibri"/>
                <w:szCs w:val="20"/>
              </w:rPr>
              <w:t xml:space="preserve">bilisering og optimal bruk av </w:t>
            </w:r>
            <w:r w:rsidR="003D45D0" w:rsidRPr="004401C6">
              <w:rPr>
                <w:rFonts w:eastAsia="Calibri" w:cs="Calibri"/>
                <w:szCs w:val="20"/>
              </w:rPr>
              <w:t xml:space="preserve">kompetanse og </w:t>
            </w:r>
            <w:r w:rsidR="00A276F1" w:rsidRPr="004401C6">
              <w:rPr>
                <w:rFonts w:eastAsia="Calibri" w:cs="Calibri"/>
                <w:szCs w:val="20"/>
              </w:rPr>
              <w:t>ressurser</w:t>
            </w:r>
            <w:r w:rsidRPr="004401C6">
              <w:rPr>
                <w:rFonts w:eastAsia="Calibri" w:cs="Calibri"/>
                <w:szCs w:val="20"/>
              </w:rPr>
              <w:t xml:space="preserve">. </w:t>
            </w:r>
            <w:r w:rsidR="00015553" w:rsidRPr="004401C6">
              <w:rPr>
                <w:rFonts w:eastAsia="Calibri" w:cs="Calibri"/>
                <w:szCs w:val="20"/>
              </w:rPr>
              <w:t xml:space="preserve">Felles styringslinje for USS og L3S </w:t>
            </w:r>
            <w:r w:rsidR="00CC2B8E" w:rsidRPr="004401C6">
              <w:rPr>
                <w:rFonts w:eastAsia="Calibri" w:cs="Calibri"/>
                <w:szCs w:val="20"/>
              </w:rPr>
              <w:t xml:space="preserve">vil kunne gi økt </w:t>
            </w:r>
            <w:r w:rsidR="0062089B" w:rsidRPr="004401C6">
              <w:rPr>
                <w:rFonts w:eastAsia="Calibri" w:cs="Calibri"/>
                <w:szCs w:val="20"/>
              </w:rPr>
              <w:t xml:space="preserve">rom for </w:t>
            </w:r>
            <w:r w:rsidR="00CC2B8E" w:rsidRPr="004401C6">
              <w:rPr>
                <w:rFonts w:eastAsia="Calibri" w:cs="Calibri"/>
                <w:szCs w:val="20"/>
              </w:rPr>
              <w:t>læring på tvers samme</w:t>
            </w:r>
            <w:r w:rsidR="0062089B" w:rsidRPr="004401C6">
              <w:rPr>
                <w:rFonts w:eastAsia="Calibri" w:cs="Calibri"/>
                <w:szCs w:val="20"/>
              </w:rPr>
              <w:t>n</w:t>
            </w:r>
            <w:r w:rsidR="00CC2B8E" w:rsidRPr="004401C6">
              <w:rPr>
                <w:rFonts w:eastAsia="Calibri" w:cs="Calibri"/>
                <w:szCs w:val="20"/>
              </w:rPr>
              <w:t xml:space="preserve"> med behovet for større grad av</w:t>
            </w:r>
            <w:r w:rsidR="00015553" w:rsidRPr="004401C6">
              <w:rPr>
                <w:rFonts w:eastAsia="Calibri" w:cs="Calibri"/>
                <w:szCs w:val="20"/>
              </w:rPr>
              <w:t xml:space="preserve"> fle</w:t>
            </w:r>
            <w:r w:rsidR="0062089B" w:rsidRPr="004401C6">
              <w:rPr>
                <w:rFonts w:eastAsia="Calibri" w:cs="Calibri"/>
                <w:szCs w:val="20"/>
              </w:rPr>
              <w:t>ksibilitet og god ressursutnyttelse</w:t>
            </w:r>
            <w:r w:rsidR="00015553" w:rsidRPr="004401C6">
              <w:rPr>
                <w:rFonts w:eastAsia="Calibri" w:cs="Calibri"/>
                <w:szCs w:val="20"/>
              </w:rPr>
              <w:t xml:space="preserve"> innen brukerstøtte og support</w:t>
            </w:r>
            <w:r w:rsidR="00A276F1" w:rsidRPr="004401C6">
              <w:rPr>
                <w:rFonts w:eastAsia="Calibri" w:cs="Calibri"/>
                <w:szCs w:val="20"/>
              </w:rPr>
              <w:t xml:space="preserve">. </w:t>
            </w:r>
          </w:p>
          <w:p w:rsidR="001650B7" w:rsidRPr="004401C6" w:rsidRDefault="00015553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 xml:space="preserve">Supportfunksjonen i UKE utføres i hovedsak av de to seksjonene USS og L3S, </w:t>
            </w:r>
            <w:r w:rsidR="003D45D0" w:rsidRPr="004401C6">
              <w:rPr>
                <w:rFonts w:eastAsia="Calibri" w:cs="Calibri"/>
                <w:szCs w:val="20"/>
              </w:rPr>
              <w:t xml:space="preserve">og </w:t>
            </w:r>
            <w:r w:rsidRPr="004401C6">
              <w:rPr>
                <w:rFonts w:eastAsia="Calibri" w:cs="Calibri"/>
                <w:szCs w:val="20"/>
              </w:rPr>
              <w:t>tettere samarbeid og samhandling kan bidra til økt løsnin</w:t>
            </w:r>
            <w:r w:rsidR="00A276F1" w:rsidRPr="004401C6">
              <w:rPr>
                <w:rFonts w:eastAsia="Calibri" w:cs="Calibri"/>
                <w:szCs w:val="20"/>
              </w:rPr>
              <w:t xml:space="preserve">gsgrad i første møte med kunden. </w:t>
            </w:r>
            <w:r w:rsidR="003D45D0" w:rsidRPr="004401C6">
              <w:rPr>
                <w:rFonts w:eastAsia="Calibri" w:cs="Calibri"/>
                <w:szCs w:val="20"/>
              </w:rPr>
              <w:t>USS har</w:t>
            </w:r>
            <w:r w:rsidRPr="004401C6">
              <w:rPr>
                <w:rFonts w:eastAsia="Calibri" w:cs="Calibri"/>
                <w:szCs w:val="20"/>
              </w:rPr>
              <w:t xml:space="preserve"> sterke avhengigheter til seksj</w:t>
            </w:r>
            <w:r w:rsidR="003D45D0" w:rsidRPr="004401C6">
              <w:rPr>
                <w:rFonts w:eastAsia="Calibri" w:cs="Calibri"/>
                <w:szCs w:val="20"/>
              </w:rPr>
              <w:t xml:space="preserve">oner i Plattform og leveranse, og </w:t>
            </w:r>
            <w:r w:rsidRPr="004401C6">
              <w:rPr>
                <w:rFonts w:eastAsia="Calibri" w:cs="Calibri"/>
                <w:szCs w:val="20"/>
              </w:rPr>
              <w:t>arbei</w:t>
            </w:r>
            <w:r w:rsidR="003D45D0" w:rsidRPr="004401C6">
              <w:rPr>
                <w:rFonts w:eastAsia="Calibri" w:cs="Calibri"/>
                <w:szCs w:val="20"/>
              </w:rPr>
              <w:t xml:space="preserve">dsflyten kan effektivisere </w:t>
            </w:r>
            <w:r w:rsidR="0062089B" w:rsidRPr="004401C6">
              <w:rPr>
                <w:rFonts w:eastAsia="Calibri" w:cs="Calibri"/>
                <w:szCs w:val="20"/>
              </w:rPr>
              <w:t xml:space="preserve">bedre </w:t>
            </w:r>
            <w:r w:rsidR="003D45D0" w:rsidRPr="004401C6">
              <w:rPr>
                <w:rFonts w:eastAsia="Calibri" w:cs="Calibri"/>
                <w:szCs w:val="20"/>
              </w:rPr>
              <w:t xml:space="preserve">innunder </w:t>
            </w:r>
            <w:r w:rsidRPr="004401C6">
              <w:rPr>
                <w:rFonts w:eastAsia="Calibri" w:cs="Calibri"/>
                <w:szCs w:val="20"/>
              </w:rPr>
              <w:t>felles og enhetlig styringslinje</w:t>
            </w:r>
            <w:r w:rsidR="003D45D0" w:rsidRPr="004401C6">
              <w:rPr>
                <w:rFonts w:eastAsia="Calibri" w:cs="Calibri"/>
                <w:szCs w:val="20"/>
              </w:rPr>
              <w:t xml:space="preserve">. </w:t>
            </w:r>
          </w:p>
          <w:p w:rsidR="003D45D0" w:rsidRPr="004401C6" w:rsidRDefault="003D45D0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3D45D0" w:rsidRPr="004401C6" w:rsidRDefault="003D45D0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3D45D0" w:rsidRPr="004401C6" w:rsidRDefault="003D45D0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lastRenderedPageBreak/>
              <w:t xml:space="preserve">Andre fordeler og gevinster som er trukket frem i forbindelse med foreliggende løsning er: </w:t>
            </w:r>
          </w:p>
          <w:p w:rsidR="001650B7" w:rsidRPr="004401C6" w:rsidRDefault="00015553" w:rsidP="00C83C03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 xml:space="preserve">Redusert behov for koordinering mellom avdelinger </w:t>
            </w:r>
          </w:p>
          <w:p w:rsidR="001650B7" w:rsidRPr="004401C6" w:rsidRDefault="00015553" w:rsidP="00C83C03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>Redusert grad av avhengigheter mellom avdelinger</w:t>
            </w:r>
          </w:p>
          <w:p w:rsidR="001650B7" w:rsidRPr="004401C6" w:rsidRDefault="00015553" w:rsidP="00C83C03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 xml:space="preserve">At de sentrale ITSM prosessene blir samlet – </w:t>
            </w:r>
            <w:r w:rsidR="003D45D0" w:rsidRPr="004401C6">
              <w:rPr>
                <w:rFonts w:eastAsia="Calibri" w:cs="Calibri"/>
                <w:szCs w:val="20"/>
              </w:rPr>
              <w:t xml:space="preserve">for </w:t>
            </w:r>
            <w:r w:rsidRPr="004401C6">
              <w:rPr>
                <w:rFonts w:eastAsia="Calibri" w:cs="Calibri"/>
                <w:szCs w:val="20"/>
              </w:rPr>
              <w:t>bedre arbeidsflyt og fagstøtte</w:t>
            </w:r>
          </w:p>
          <w:p w:rsidR="001650B7" w:rsidRPr="004401C6" w:rsidRDefault="00015553" w:rsidP="00C83C03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 xml:space="preserve">Bedret samhandling og samarbeid ved at generalister </w:t>
            </w:r>
            <w:r w:rsidR="00C83C03">
              <w:rPr>
                <w:rFonts w:eastAsia="Calibri" w:cs="Calibri"/>
                <w:szCs w:val="20"/>
              </w:rPr>
              <w:t>og spesialister samarbeider tettere</w:t>
            </w:r>
          </w:p>
          <w:p w:rsidR="001650B7" w:rsidRPr="004401C6" w:rsidRDefault="00015553" w:rsidP="00C83C03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 xml:space="preserve">Økt kompetansemobilisering og effektiv drift av supportfunksjonene generelt </w:t>
            </w:r>
          </w:p>
          <w:p w:rsidR="001650B7" w:rsidRPr="004401C6" w:rsidRDefault="00015553" w:rsidP="00C83C03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>Optimalisering av besluttet leveransemodell</w:t>
            </w:r>
            <w:r w:rsidR="003D45D0" w:rsidRPr="004401C6">
              <w:rPr>
                <w:rFonts w:eastAsia="Calibri" w:cs="Calibri"/>
                <w:szCs w:val="20"/>
              </w:rPr>
              <w:t xml:space="preserve"> for etatens supportfunksjon – se vedlegg. </w:t>
            </w:r>
          </w:p>
          <w:p w:rsidR="0062089B" w:rsidRPr="004401C6" w:rsidRDefault="00015553" w:rsidP="00C83C03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401C6">
              <w:rPr>
                <w:rFonts w:eastAsia="Calibri" w:cs="Calibri"/>
                <w:szCs w:val="20"/>
              </w:rPr>
              <w:t xml:space="preserve">Bedre ressurskapasitet helhetlig, </w:t>
            </w:r>
            <w:r w:rsidR="003D45D0" w:rsidRPr="004401C6">
              <w:rPr>
                <w:rFonts w:eastAsia="Calibri" w:cs="Calibri"/>
                <w:szCs w:val="20"/>
              </w:rPr>
              <w:t xml:space="preserve">og mulig </w:t>
            </w:r>
            <w:r w:rsidRPr="004401C6">
              <w:rPr>
                <w:rFonts w:eastAsia="Calibri" w:cs="Calibri"/>
                <w:szCs w:val="20"/>
              </w:rPr>
              <w:t>redusert arbeidspress</w:t>
            </w:r>
          </w:p>
          <w:p w:rsidR="0062089B" w:rsidRPr="004401C6" w:rsidRDefault="0062089B" w:rsidP="00C83C03">
            <w:pPr>
              <w:spacing w:after="0" w:line="240" w:lineRule="auto"/>
              <w:ind w:left="360"/>
              <w:rPr>
                <w:rFonts w:eastAsia="Calibri" w:cs="Calibri"/>
                <w:szCs w:val="20"/>
              </w:rPr>
            </w:pPr>
          </w:p>
          <w:p w:rsidR="0062089B" w:rsidRPr="004401C6" w:rsidRDefault="0062089B" w:rsidP="004401C6">
            <w:pPr>
              <w:spacing w:after="0" w:line="240" w:lineRule="auto"/>
              <w:rPr>
                <w:szCs w:val="20"/>
              </w:rPr>
            </w:pPr>
            <w:r w:rsidRPr="004401C6">
              <w:rPr>
                <w:szCs w:val="20"/>
              </w:rPr>
              <w:t>Utfordringer som bør gis oppmerksomhet er at foreliggende forslag vil medføre økt koordineringsbehov mellom USS og Løsningssalg (kundefronten)i Virksomhetsdialog – som har vært organisert i samme styringslinje frem til nå. Organisatorisk flytting av USS til Plattform og leveranse må ikke medføre redusert fokus på virksomhetsdi</w:t>
            </w:r>
            <w:r w:rsidR="00C83C03">
              <w:rPr>
                <w:szCs w:val="20"/>
              </w:rPr>
              <w:t xml:space="preserve">alogen </w:t>
            </w:r>
            <w:r w:rsidR="004D39AD">
              <w:rPr>
                <w:szCs w:val="20"/>
              </w:rPr>
              <w:t>og kundeperspektivet, men fortsette</w:t>
            </w:r>
            <w:r w:rsidR="00C83C03">
              <w:rPr>
                <w:szCs w:val="20"/>
              </w:rPr>
              <w:t xml:space="preserve"> målrettet for</w:t>
            </w:r>
            <w:r w:rsidRPr="004401C6">
              <w:rPr>
                <w:szCs w:val="20"/>
              </w:rPr>
              <w:t xml:space="preserve"> god og tett dialog med kundene for raske løsninger og svar. </w:t>
            </w:r>
          </w:p>
          <w:p w:rsidR="00037D6F" w:rsidRPr="004401C6" w:rsidRDefault="00037D6F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C8089A" w:rsidRPr="004401C6" w:rsidRDefault="00C8089A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 xml:space="preserve">Administrative konsekvenser: </w:t>
            </w:r>
          </w:p>
          <w:p w:rsidR="001650B7" w:rsidRPr="004401C6" w:rsidRDefault="00015553" w:rsidP="004D39AD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4401C6">
              <w:rPr>
                <w:rFonts w:eastAsia="Times New Roman"/>
                <w:szCs w:val="20"/>
                <w:lang w:eastAsia="nb-NO"/>
              </w:rPr>
              <w:t>Det gjøres en organisatorisk justering - som et første trinn i organisering av etatens supp</w:t>
            </w:r>
            <w:r w:rsidR="003246B2" w:rsidRPr="004401C6">
              <w:rPr>
                <w:rFonts w:eastAsia="Times New Roman"/>
                <w:szCs w:val="20"/>
                <w:lang w:eastAsia="nb-NO"/>
              </w:rPr>
              <w:t>ortfunksjon – med virkning fra 01.09.2020</w:t>
            </w:r>
          </w:p>
          <w:p w:rsidR="001650B7" w:rsidRPr="004401C6" w:rsidRDefault="003246B2" w:rsidP="004D39AD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4401C6">
              <w:rPr>
                <w:rFonts w:eastAsia="Times New Roman"/>
                <w:szCs w:val="20"/>
                <w:lang w:eastAsia="nb-NO"/>
              </w:rPr>
              <w:t xml:space="preserve">USS; </w:t>
            </w:r>
            <w:proofErr w:type="spellStart"/>
            <w:r w:rsidR="00015553" w:rsidRPr="004401C6">
              <w:rPr>
                <w:rFonts w:eastAsia="Times New Roman"/>
                <w:szCs w:val="20"/>
                <w:lang w:eastAsia="nb-NO"/>
              </w:rPr>
              <w:t>UKEs</w:t>
            </w:r>
            <w:proofErr w:type="spellEnd"/>
            <w:r w:rsidR="00015553" w:rsidRPr="004401C6">
              <w:rPr>
                <w:rFonts w:eastAsia="Times New Roman"/>
                <w:szCs w:val="20"/>
                <w:lang w:eastAsia="nb-NO"/>
              </w:rPr>
              <w:t xml:space="preserve"> servicesenter flyttes organisatorisk fra Virksomhetsdi</w:t>
            </w:r>
            <w:r w:rsidRPr="004401C6">
              <w:rPr>
                <w:rFonts w:eastAsia="Times New Roman"/>
                <w:szCs w:val="20"/>
                <w:lang w:eastAsia="nb-NO"/>
              </w:rPr>
              <w:t xml:space="preserve">alog til Plattform og leveranse. </w:t>
            </w:r>
          </w:p>
          <w:p w:rsidR="001650B7" w:rsidRPr="004401C6" w:rsidRDefault="00015553" w:rsidP="004D39AD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4401C6">
              <w:rPr>
                <w:rFonts w:eastAsia="Times New Roman"/>
                <w:szCs w:val="20"/>
                <w:lang w:eastAsia="nb-NO"/>
              </w:rPr>
              <w:t xml:space="preserve">USS og L3S opprettholdes som selvstendige seksjoner i Plattform og leveranse </w:t>
            </w:r>
          </w:p>
          <w:p w:rsidR="001650B7" w:rsidRPr="004401C6" w:rsidRDefault="00015553" w:rsidP="004D39AD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4401C6">
              <w:rPr>
                <w:rFonts w:eastAsia="Times New Roman"/>
                <w:szCs w:val="20"/>
                <w:lang w:eastAsia="nb-NO"/>
              </w:rPr>
              <w:t>Eksisterende rolle</w:t>
            </w:r>
            <w:r w:rsidR="003246B2" w:rsidRPr="004401C6">
              <w:rPr>
                <w:rFonts w:eastAsia="Times New Roman"/>
                <w:szCs w:val="20"/>
                <w:lang w:eastAsia="nb-NO"/>
              </w:rPr>
              <w:t>beskrivelse</w:t>
            </w:r>
            <w:r w:rsidRPr="004401C6">
              <w:rPr>
                <w:rFonts w:eastAsia="Times New Roman"/>
                <w:szCs w:val="20"/>
                <w:lang w:eastAsia="nb-NO"/>
              </w:rPr>
              <w:t xml:space="preserve">r og ansvarsoppgaver opprettholdes </w:t>
            </w:r>
          </w:p>
          <w:p w:rsidR="001650B7" w:rsidRPr="004401C6" w:rsidRDefault="00015553" w:rsidP="004D39AD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4401C6">
              <w:rPr>
                <w:rFonts w:eastAsia="Times New Roman"/>
                <w:szCs w:val="20"/>
                <w:lang w:eastAsia="nb-NO"/>
              </w:rPr>
              <w:t>Det skal vurderes på lengre sikt å gjøre ytterligere justeringer for å optimalisere brukerstøtte- og supportfunksjonen i etaten</w:t>
            </w:r>
          </w:p>
          <w:p w:rsidR="00733E15" w:rsidRPr="004401C6" w:rsidRDefault="00733E15" w:rsidP="004D39AD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:rsidR="00AD42AC" w:rsidRPr="004401C6" w:rsidRDefault="00AD42AC" w:rsidP="004401C6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4401C6">
              <w:rPr>
                <w:rFonts w:eastAsia="Times New Roman"/>
                <w:szCs w:val="20"/>
                <w:lang w:eastAsia="nb-NO"/>
              </w:rPr>
              <w:t xml:space="preserve">De arbeidsmiljømessige konsekvensene er beskrevet i egen sak til AMU. </w:t>
            </w:r>
          </w:p>
          <w:p w:rsidR="00AD42AC" w:rsidRPr="004401C6" w:rsidRDefault="00AD42AC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>Konklusjon og vurdering</w:t>
            </w:r>
          </w:p>
          <w:p w:rsidR="0062089B" w:rsidRPr="004401C6" w:rsidRDefault="004D39AD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Etatsdirektøren anser den organisatoriske flyttingen av etatens servicesenter som en nødvendig og viktig justering i arbeidet med å effektivisere og optimalisere etatens ansvar for brukerstøtte og support til alle virksomhetene i kommunen. </w:t>
            </w:r>
          </w:p>
          <w:p w:rsidR="0062089B" w:rsidRPr="004401C6" w:rsidRDefault="0062089B" w:rsidP="004401C6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:rsidR="00AD42AC" w:rsidRPr="004401C6" w:rsidRDefault="006D3FED" w:rsidP="004401C6">
            <w:pPr>
              <w:spacing w:line="240" w:lineRule="auto"/>
              <w:rPr>
                <w:b/>
                <w:szCs w:val="20"/>
              </w:rPr>
            </w:pPr>
            <w:r w:rsidRPr="004401C6">
              <w:rPr>
                <w:b/>
                <w:szCs w:val="20"/>
              </w:rPr>
              <w:t>Forslag til vedtak</w:t>
            </w:r>
          </w:p>
          <w:p w:rsidR="00C8089A" w:rsidRPr="004401C6" w:rsidRDefault="006D3FED" w:rsidP="004401C6">
            <w:pPr>
              <w:spacing w:line="240" w:lineRule="auto"/>
              <w:rPr>
                <w:b/>
                <w:szCs w:val="20"/>
              </w:rPr>
            </w:pPr>
            <w:r w:rsidRPr="004401C6">
              <w:rPr>
                <w:szCs w:val="20"/>
              </w:rPr>
              <w:t xml:space="preserve">Medbestemmelsesutvalget slutter seg </w:t>
            </w:r>
            <w:r w:rsidR="00AF281F" w:rsidRPr="004401C6">
              <w:rPr>
                <w:szCs w:val="20"/>
              </w:rPr>
              <w:t>til foreligg</w:t>
            </w:r>
            <w:r w:rsidR="001E3473" w:rsidRPr="004401C6">
              <w:rPr>
                <w:szCs w:val="20"/>
              </w:rPr>
              <w:t>ende forslag til organisatorisk</w:t>
            </w:r>
            <w:r w:rsidR="00A66D79" w:rsidRPr="004401C6">
              <w:rPr>
                <w:szCs w:val="20"/>
              </w:rPr>
              <w:t>e</w:t>
            </w:r>
            <w:r w:rsidR="00AF281F" w:rsidRPr="004401C6">
              <w:rPr>
                <w:szCs w:val="20"/>
              </w:rPr>
              <w:t xml:space="preserve"> j</w:t>
            </w:r>
            <w:r w:rsidR="00C8089A" w:rsidRPr="004401C6">
              <w:rPr>
                <w:szCs w:val="20"/>
              </w:rPr>
              <w:t>ustering</w:t>
            </w:r>
            <w:r w:rsidR="00A66D79" w:rsidRPr="004401C6">
              <w:rPr>
                <w:szCs w:val="20"/>
              </w:rPr>
              <w:t>er</w:t>
            </w:r>
            <w:r w:rsidR="00C8089A" w:rsidRPr="004401C6">
              <w:rPr>
                <w:szCs w:val="20"/>
              </w:rPr>
              <w:t xml:space="preserve"> </w:t>
            </w:r>
            <w:r w:rsidR="0062089B" w:rsidRPr="004401C6">
              <w:rPr>
                <w:szCs w:val="20"/>
              </w:rPr>
              <w:t xml:space="preserve">av </w:t>
            </w:r>
            <w:r w:rsidR="003246B2" w:rsidRPr="004401C6">
              <w:rPr>
                <w:szCs w:val="20"/>
              </w:rPr>
              <w:t xml:space="preserve">etatens supportfunksjon, </w:t>
            </w:r>
            <w:r w:rsidR="00AF281F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med virkning fra 1. september 2020. </w:t>
            </w:r>
          </w:p>
          <w:p w:rsidR="006D3FED" w:rsidRPr="004401C6" w:rsidRDefault="00AF281F" w:rsidP="004401C6">
            <w:pPr>
              <w:rPr>
                <w:szCs w:val="20"/>
              </w:rPr>
            </w:pPr>
            <w:r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Det skal vurderes å gjøre ytterligere organisatoriske justeringer for å </w:t>
            </w:r>
            <w:r w:rsidR="003246B2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>optimalisere brukerstøtte- og supportfunksjonen i etaten</w:t>
            </w:r>
            <w:r w:rsidR="002E78D7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. </w:t>
            </w:r>
            <w:r w:rsidR="00C8089A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Ytterligere forslag til endringer </w:t>
            </w:r>
            <w:r w:rsidR="002E78D7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som får organisatoriske konsekvenser </w:t>
            </w:r>
            <w:r w:rsidR="00C8089A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vil bli lagt frem for AMU og MBU til behandling. </w:t>
            </w:r>
          </w:p>
          <w:p w:rsidR="003D45D0" w:rsidRPr="004401C6" w:rsidRDefault="006D3FED" w:rsidP="004401C6">
            <w:pPr>
              <w:rPr>
                <w:szCs w:val="20"/>
                <w:u w:val="single"/>
              </w:rPr>
            </w:pPr>
            <w:r w:rsidRPr="004401C6">
              <w:rPr>
                <w:szCs w:val="20"/>
                <w:u w:val="single"/>
              </w:rPr>
              <w:t>Vedlegg</w:t>
            </w:r>
            <w:r w:rsidR="00AD42AC" w:rsidRPr="004401C6">
              <w:rPr>
                <w:szCs w:val="20"/>
                <w:u w:val="single"/>
              </w:rPr>
              <w:t>:</w:t>
            </w:r>
            <w:r w:rsidR="0093288E" w:rsidRPr="004401C6">
              <w:rPr>
                <w:szCs w:val="20"/>
                <w:u w:val="single"/>
              </w:rPr>
              <w:t xml:space="preserve"> </w:t>
            </w:r>
          </w:p>
          <w:p w:rsidR="00AD42AC" w:rsidRPr="004401C6" w:rsidRDefault="002E78D7" w:rsidP="004401C6">
            <w:pPr>
              <w:pStyle w:val="Listeavsnitt"/>
              <w:numPr>
                <w:ilvl w:val="0"/>
                <w:numId w:val="17"/>
              </w:numPr>
              <w:rPr>
                <w:szCs w:val="20"/>
              </w:rPr>
            </w:pPr>
            <w:bookmarkStart w:id="0" w:name="_GoBack"/>
            <w:bookmarkEnd w:id="0"/>
            <w:r w:rsidRPr="004401C6">
              <w:rPr>
                <w:szCs w:val="20"/>
              </w:rPr>
              <w:t xml:space="preserve">Nytt organisasjonskart </w:t>
            </w:r>
            <w:r w:rsidR="00AD42AC" w:rsidRPr="004401C6">
              <w:rPr>
                <w:szCs w:val="20"/>
              </w:rPr>
              <w:t xml:space="preserve">gjeldende fra 1.9.2020. </w:t>
            </w:r>
          </w:p>
          <w:p w:rsidR="006D3FED" w:rsidRPr="004401C6" w:rsidRDefault="006D3FED" w:rsidP="004401C6">
            <w:pPr>
              <w:ind w:left="360"/>
              <w:rPr>
                <w:szCs w:val="20"/>
              </w:rPr>
            </w:pPr>
          </w:p>
          <w:p w:rsidR="0041004E" w:rsidRPr="004401C6" w:rsidRDefault="0041004E" w:rsidP="004401C6">
            <w:pPr>
              <w:pStyle w:val="Overskrift1"/>
              <w:rPr>
                <w:sz w:val="20"/>
                <w:szCs w:val="20"/>
              </w:rPr>
            </w:pPr>
          </w:p>
        </w:tc>
      </w:tr>
    </w:tbl>
    <w:p w:rsidR="006E006E" w:rsidRDefault="006E006E" w:rsidP="0026531D">
      <w:pPr>
        <w:pStyle w:val="Ingenmellomrom"/>
        <w:keepNext/>
        <w:keepLines/>
      </w:pPr>
    </w:p>
    <w:sectPr w:rsidR="006E006E" w:rsidSect="00D44A50">
      <w:headerReference w:type="first" r:id="rId8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A0" w:rsidRDefault="00203EA0" w:rsidP="005D093C">
      <w:pPr>
        <w:spacing w:after="0" w:line="240" w:lineRule="auto"/>
      </w:pPr>
      <w:r>
        <w:separator/>
      </w:r>
    </w:p>
  </w:endnote>
  <w:endnote w:type="continuationSeparator" w:id="0">
    <w:p w:rsidR="00203EA0" w:rsidRDefault="00203EA0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A0" w:rsidRDefault="00203EA0" w:rsidP="005D093C">
      <w:pPr>
        <w:spacing w:after="0" w:line="240" w:lineRule="auto"/>
      </w:pPr>
      <w:r>
        <w:separator/>
      </w:r>
    </w:p>
  </w:footnote>
  <w:footnote w:type="continuationSeparator" w:id="0">
    <w:p w:rsidR="00203EA0" w:rsidRDefault="00203EA0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4A2C4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135" cy="561340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75.05pt;height:637.1pt" o:bullet="t">
        <v:imagedata r:id="rId1" o:title="art6742"/>
      </v:shape>
    </w:pict>
  </w:numPicBullet>
  <w:abstractNum w:abstractNumId="0" w15:restartNumberingAfterBreak="0">
    <w:nsid w:val="005B469D"/>
    <w:multiLevelType w:val="hybridMultilevel"/>
    <w:tmpl w:val="66AC59FE"/>
    <w:lvl w:ilvl="0" w:tplc="CB647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E17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4D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80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EC2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4E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23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6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1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1069F4"/>
    <w:multiLevelType w:val="hybridMultilevel"/>
    <w:tmpl w:val="1C1CE2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586CA4"/>
    <w:multiLevelType w:val="hybridMultilevel"/>
    <w:tmpl w:val="4D4E3974"/>
    <w:lvl w:ilvl="0" w:tplc="9F480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A19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9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AA0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A18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4DC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A87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E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89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7A15A8B"/>
    <w:multiLevelType w:val="hybridMultilevel"/>
    <w:tmpl w:val="97B69B48"/>
    <w:lvl w:ilvl="0" w:tplc="BE9A9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8F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864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4E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CAC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04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3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497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6D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785226"/>
    <w:multiLevelType w:val="hybridMultilevel"/>
    <w:tmpl w:val="91D2C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2046"/>
    <w:multiLevelType w:val="hybridMultilevel"/>
    <w:tmpl w:val="A956B3AE"/>
    <w:lvl w:ilvl="0" w:tplc="C3D20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4A2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A1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ACC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40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CC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22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B8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22E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34E47"/>
    <w:multiLevelType w:val="hybridMultilevel"/>
    <w:tmpl w:val="79E271DE"/>
    <w:lvl w:ilvl="0" w:tplc="EAD0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D8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C47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3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CEB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05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1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872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ED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93048"/>
    <w:multiLevelType w:val="hybridMultilevel"/>
    <w:tmpl w:val="135E4A46"/>
    <w:lvl w:ilvl="0" w:tplc="E7E62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29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E3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EF6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F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249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C11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86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63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4B3CF6"/>
    <w:multiLevelType w:val="hybridMultilevel"/>
    <w:tmpl w:val="E23E24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F7B98"/>
    <w:multiLevelType w:val="hybridMultilevel"/>
    <w:tmpl w:val="98628F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961A0"/>
    <w:multiLevelType w:val="hybridMultilevel"/>
    <w:tmpl w:val="EAD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A001847"/>
    <w:multiLevelType w:val="hybridMultilevel"/>
    <w:tmpl w:val="3EC8D556"/>
    <w:lvl w:ilvl="0" w:tplc="CAC8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3"/>
  </w:num>
  <w:num w:numId="5">
    <w:abstractNumId w:val="10"/>
  </w:num>
  <w:num w:numId="6">
    <w:abstractNumId w:val="19"/>
  </w:num>
  <w:num w:numId="7">
    <w:abstractNumId w:val="20"/>
  </w:num>
  <w:num w:numId="8">
    <w:abstractNumId w:val="1"/>
  </w:num>
  <w:num w:numId="9">
    <w:abstractNumId w:val="9"/>
  </w:num>
  <w:num w:numId="10">
    <w:abstractNumId w:val="15"/>
  </w:num>
  <w:num w:numId="11">
    <w:abstractNumId w:val="21"/>
  </w:num>
  <w:num w:numId="12">
    <w:abstractNumId w:val="4"/>
  </w:num>
  <w:num w:numId="13">
    <w:abstractNumId w:val="8"/>
  </w:num>
  <w:num w:numId="14">
    <w:abstractNumId w:val="0"/>
  </w:num>
  <w:num w:numId="15">
    <w:abstractNumId w:val="6"/>
  </w:num>
  <w:num w:numId="16">
    <w:abstractNumId w:val="12"/>
  </w:num>
  <w:num w:numId="17">
    <w:abstractNumId w:val="16"/>
  </w:num>
  <w:num w:numId="18">
    <w:abstractNumId w:val="5"/>
  </w:num>
  <w:num w:numId="19">
    <w:abstractNumId w:val="13"/>
  </w:num>
  <w:num w:numId="20">
    <w:abstractNumId w:val="14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15553"/>
    <w:rsid w:val="000223B1"/>
    <w:rsid w:val="00037D6F"/>
    <w:rsid w:val="00095EC1"/>
    <w:rsid w:val="0011057B"/>
    <w:rsid w:val="00120855"/>
    <w:rsid w:val="001650B7"/>
    <w:rsid w:val="00186573"/>
    <w:rsid w:val="0019374D"/>
    <w:rsid w:val="001E3473"/>
    <w:rsid w:val="001F112F"/>
    <w:rsid w:val="001F4CB8"/>
    <w:rsid w:val="00203EA0"/>
    <w:rsid w:val="0025699D"/>
    <w:rsid w:val="0026531D"/>
    <w:rsid w:val="002A2DE5"/>
    <w:rsid w:val="002B39C4"/>
    <w:rsid w:val="002E78D7"/>
    <w:rsid w:val="002F6D39"/>
    <w:rsid w:val="003246B2"/>
    <w:rsid w:val="00325D57"/>
    <w:rsid w:val="003D45D0"/>
    <w:rsid w:val="0041004E"/>
    <w:rsid w:val="004401C6"/>
    <w:rsid w:val="00483FE0"/>
    <w:rsid w:val="004A2C47"/>
    <w:rsid w:val="004D39AD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2089B"/>
    <w:rsid w:val="00627CD4"/>
    <w:rsid w:val="00646761"/>
    <w:rsid w:val="00666313"/>
    <w:rsid w:val="006D3FED"/>
    <w:rsid w:val="006E006E"/>
    <w:rsid w:val="00727D7C"/>
    <w:rsid w:val="00733E15"/>
    <w:rsid w:val="007D1113"/>
    <w:rsid w:val="007D7E44"/>
    <w:rsid w:val="007E4B0D"/>
    <w:rsid w:val="0085172A"/>
    <w:rsid w:val="008B4B9A"/>
    <w:rsid w:val="008C5DE9"/>
    <w:rsid w:val="008D5723"/>
    <w:rsid w:val="008F0992"/>
    <w:rsid w:val="0093288E"/>
    <w:rsid w:val="009A11C5"/>
    <w:rsid w:val="009F7380"/>
    <w:rsid w:val="00A0208E"/>
    <w:rsid w:val="00A035A1"/>
    <w:rsid w:val="00A276F1"/>
    <w:rsid w:val="00A63656"/>
    <w:rsid w:val="00A66D79"/>
    <w:rsid w:val="00A67238"/>
    <w:rsid w:val="00AA100D"/>
    <w:rsid w:val="00AC09E6"/>
    <w:rsid w:val="00AD42AC"/>
    <w:rsid w:val="00AE19AF"/>
    <w:rsid w:val="00AF281F"/>
    <w:rsid w:val="00B10DAE"/>
    <w:rsid w:val="00C51925"/>
    <w:rsid w:val="00C644F8"/>
    <w:rsid w:val="00C65969"/>
    <w:rsid w:val="00C8089A"/>
    <w:rsid w:val="00C83C03"/>
    <w:rsid w:val="00C93F97"/>
    <w:rsid w:val="00CC2B8E"/>
    <w:rsid w:val="00D25FF3"/>
    <w:rsid w:val="00D44A50"/>
    <w:rsid w:val="00D44FE9"/>
    <w:rsid w:val="00D66BE0"/>
    <w:rsid w:val="00D74702"/>
    <w:rsid w:val="00D8326C"/>
    <w:rsid w:val="00DB35DE"/>
    <w:rsid w:val="00DC156E"/>
    <w:rsid w:val="00E02907"/>
    <w:rsid w:val="00E51F3C"/>
    <w:rsid w:val="00E65E1A"/>
    <w:rsid w:val="00E92401"/>
    <w:rsid w:val="00EB7D03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10804D9"/>
  <w15:docId w15:val="{D95C1ACA-141E-4A8B-9827-7544FD02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lo Sans Office" w:eastAsia="Oslo Sans Office" w:hAnsi="Oslo Sans Office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eastAsia="Times New Roman"/>
      <w:color w:val="2A285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eastAsia="Times New Roman"/>
      <w:b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D7882"/>
    <w:rPr>
      <w:rFonts w:ascii="Oslo Sans Office" w:eastAsia="Times New Roman" w:hAnsi="Oslo Sans Office" w:cs="Times New Roman"/>
      <w:color w:val="2A2859"/>
      <w:sz w:val="28"/>
      <w:szCs w:val="32"/>
    </w:rPr>
  </w:style>
  <w:style w:type="table" w:styleId="Tabellrutenett">
    <w:name w:val="Table Grid"/>
    <w:basedOn w:val="Vanligtabell"/>
    <w:uiPriority w:val="39"/>
    <w:rsid w:val="00C5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/>
      <w:sz w:val="16"/>
    </w:rPr>
  </w:style>
  <w:style w:type="character" w:customStyle="1" w:styleId="BunntekstTegn">
    <w:name w:val="Bunntekst Tegn"/>
    <w:link w:val="Bunntekst"/>
    <w:uiPriority w:val="99"/>
    <w:semiHidden/>
    <w:rsid w:val="00FD7882"/>
    <w:rPr>
      <w:color w:val="2A2859"/>
      <w:sz w:val="16"/>
    </w:rPr>
  </w:style>
  <w:style w:type="character" w:styleId="Sterk">
    <w:name w:val="Strong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eastAsia="Times New Roman"/>
      <w:color w:val="2A2859"/>
      <w:spacing w:val="-10"/>
      <w:kern w:val="28"/>
      <w:sz w:val="38"/>
      <w:szCs w:val="56"/>
    </w:rPr>
  </w:style>
  <w:style w:type="character" w:customStyle="1" w:styleId="TittelTegn">
    <w:name w:val="Tittel Tegn"/>
    <w:link w:val="Tittel"/>
    <w:uiPriority w:val="10"/>
    <w:rsid w:val="00FD7882"/>
    <w:rPr>
      <w:rFonts w:ascii="Oslo Sans Office" w:eastAsia="Times New Roman" w:hAnsi="Oslo Sans Office" w:cs="Times New Roman"/>
      <w:color w:val="2A2859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line="264" w:lineRule="auto"/>
    </w:pPr>
    <w:rPr>
      <w:szCs w:val="22"/>
      <w:lang w:eastAsia="en-US"/>
    </w:rPr>
  </w:style>
  <w:style w:type="character" w:styleId="Plassholdertekst">
    <w:name w:val="Placeholder Tex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="Times New Roman"/>
      <w:b/>
      <w:color w:val="2A2859"/>
      <w:sz w:val="22"/>
    </w:rPr>
  </w:style>
  <w:style w:type="character" w:customStyle="1" w:styleId="UndertittelTegn">
    <w:name w:val="Undertittel Tegn"/>
    <w:link w:val="Undertittel"/>
    <w:uiPriority w:val="11"/>
    <w:rsid w:val="00FD7882"/>
    <w:rPr>
      <w:rFonts w:eastAsia="Times New Roman"/>
      <w:b/>
      <w:color w:val="2A2859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link w:val="Overskrift2"/>
    <w:uiPriority w:val="9"/>
    <w:rsid w:val="00FD7882"/>
    <w:rPr>
      <w:rFonts w:ascii="Oslo Sans Office" w:eastAsia="Times New Roman" w:hAnsi="Oslo Sans Office" w:cs="Times New Roman"/>
      <w:b/>
      <w:color w:val="000000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rPr>
      <w:color w:val="030303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+mn-ea" w:hAnsi="+mn-ea"/>
        <w:color w:val="FFFFFF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2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8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63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56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2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98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51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11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9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5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3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2</TotalTime>
  <Pages>3</Pages>
  <Words>723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Brouer-Wangen</dc:creator>
  <cp:keywords/>
  <cp:lastModifiedBy>Birgit Aakre</cp:lastModifiedBy>
  <cp:revision>3</cp:revision>
  <dcterms:created xsi:type="dcterms:W3CDTF">2020-08-19T12:14:00Z</dcterms:created>
  <dcterms:modified xsi:type="dcterms:W3CDTF">2020-08-19T12:15:00Z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