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74624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AMU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746248" w:rsidP="00030418">
            <w:pPr>
              <w:pStyle w:val="Ingenmellomrom"/>
            </w:pPr>
            <w:r>
              <w:t>AM</w:t>
            </w:r>
            <w:r w:rsidR="00030418">
              <w:t>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B51876" w:rsidP="00B51876">
            <w:pPr>
              <w:pStyle w:val="Ingenmellomrom"/>
            </w:pPr>
            <w:r>
              <w:t>27</w:t>
            </w:r>
            <w:r w:rsidR="0022124F">
              <w:t>.0</w:t>
            </w:r>
            <w:r>
              <w:t>8</w:t>
            </w:r>
            <w:r w:rsidR="0022124F">
              <w:t xml:space="preserve">.20 klokken </w:t>
            </w:r>
            <w:r>
              <w:t>0900-1100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DF4DA4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DF4DA4" w:rsidRDefault="00DF4DA4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Fraværende:</w:t>
      </w:r>
      <w:r w:rsidRPr="0022124F"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Henriette Dan Solberg</w:t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22124F" w:rsidRDefault="00B51876" w:rsidP="0022124F">
      <w:pPr>
        <w:ind w:left="2124" w:hanging="2124"/>
        <w:rPr>
          <w:szCs w:val="20"/>
        </w:rPr>
      </w:pPr>
      <w:r>
        <w:rPr>
          <w:szCs w:val="20"/>
        </w:rPr>
        <w:t>Referat fra 24.06.20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46248">
        <w:rPr>
          <w:szCs w:val="20"/>
        </w:rPr>
        <w:t>Godkjennes neste møte</w:t>
      </w:r>
    </w:p>
    <w:p w:rsidR="00DF4DA4" w:rsidRDefault="00DF4DA4" w:rsidP="00E460CC">
      <w:pPr>
        <w:spacing w:after="0" w:line="240" w:lineRule="auto"/>
        <w:ind w:left="2127" w:hanging="2127"/>
        <w:rPr>
          <w:b/>
          <w:szCs w:val="20"/>
        </w:rPr>
      </w:pPr>
    </w:p>
    <w:p w:rsidR="00DF4DA4" w:rsidRDefault="00DF4DA4" w:rsidP="00E460CC">
      <w:pPr>
        <w:spacing w:after="0" w:line="240" w:lineRule="auto"/>
        <w:ind w:left="2127" w:hanging="2127"/>
        <w:rPr>
          <w:b/>
          <w:szCs w:val="20"/>
        </w:rPr>
      </w:pPr>
    </w:p>
    <w:p w:rsidR="00E460CC" w:rsidRPr="00E460CC" w:rsidRDefault="00746248" w:rsidP="00E460CC">
      <w:pPr>
        <w:spacing w:after="0" w:line="240" w:lineRule="auto"/>
        <w:ind w:left="2127" w:hanging="2127"/>
        <w:rPr>
          <w:rFonts w:ascii="Oslo Sans Office" w:hAnsi="Oslo Sans Office"/>
          <w:b/>
          <w:szCs w:val="20"/>
        </w:rPr>
      </w:pPr>
      <w:r>
        <w:rPr>
          <w:b/>
          <w:szCs w:val="20"/>
        </w:rPr>
        <w:t>AMU</w:t>
      </w:r>
      <w:r w:rsidR="0022124F" w:rsidRPr="0022124F">
        <w:rPr>
          <w:b/>
          <w:szCs w:val="20"/>
        </w:rPr>
        <w:t xml:space="preserve"> sak </w:t>
      </w:r>
      <w:r w:rsidR="00E460CC">
        <w:rPr>
          <w:b/>
          <w:szCs w:val="20"/>
        </w:rPr>
        <w:t>10</w:t>
      </w:r>
      <w:r w:rsidR="0022124F" w:rsidRPr="0022124F">
        <w:rPr>
          <w:b/>
          <w:szCs w:val="20"/>
        </w:rPr>
        <w:t>/20</w:t>
      </w:r>
      <w:r w:rsidR="0022124F" w:rsidRPr="0022124F">
        <w:rPr>
          <w:b/>
          <w:szCs w:val="20"/>
        </w:rPr>
        <w:tab/>
      </w:r>
      <w:r w:rsidRPr="004401C6">
        <w:rPr>
          <w:rFonts w:eastAsia="Times New Roman"/>
          <w:b/>
          <w:szCs w:val="20"/>
          <w:lang w:eastAsia="nb-NO"/>
        </w:rPr>
        <w:t>Endring av organisatorisk plassering for UKEs servicesenter</w:t>
      </w:r>
    </w:p>
    <w:p w:rsidR="00030418" w:rsidRDefault="00030418" w:rsidP="00030418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162725" w:rsidRPr="00746248" w:rsidRDefault="00162725" w:rsidP="00162725">
      <w:pPr>
        <w:spacing w:after="0" w:line="240" w:lineRule="auto"/>
        <w:rPr>
          <w:rFonts w:asciiTheme="majorHAnsi" w:eastAsia="Calibri" w:hAnsiTheme="majorHAnsi" w:cs="Calibri"/>
          <w:szCs w:val="20"/>
          <w:u w:val="single"/>
        </w:rPr>
      </w:pPr>
      <w:r w:rsidRPr="00746248">
        <w:rPr>
          <w:rFonts w:asciiTheme="majorHAnsi" w:eastAsia="Calibri" w:hAnsiTheme="majorHAnsi" w:cs="Calibri"/>
          <w:szCs w:val="20"/>
          <w:u w:val="single"/>
        </w:rPr>
        <w:t>Saksfremstilling</w:t>
      </w:r>
    </w:p>
    <w:p w:rsidR="00E460CC" w:rsidRDefault="00746248" w:rsidP="00746248">
      <w:pPr>
        <w:spacing w:after="0" w:line="240" w:lineRule="auto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UKE </w:t>
      </w:r>
      <w:r w:rsidRPr="004401C6">
        <w:rPr>
          <w:rFonts w:eastAsia="Calibri" w:cs="Calibri"/>
          <w:szCs w:val="20"/>
        </w:rPr>
        <w:t>ønsker større grad av fleksibilitet og robusthet kapasitetsmessig samt økt faglig samhandling mellom fagmiljøene innen brukerstøtte og support</w:t>
      </w:r>
      <w:r>
        <w:rPr>
          <w:rFonts w:eastAsia="Calibri" w:cs="Calibri"/>
          <w:szCs w:val="20"/>
        </w:rPr>
        <w:t xml:space="preserve"> og ønsker å </w:t>
      </w:r>
      <w:r w:rsidRPr="004401C6">
        <w:rPr>
          <w:rFonts w:eastAsia="Calibri" w:cs="Calibri"/>
          <w:szCs w:val="20"/>
        </w:rPr>
        <w:t>om å samle hoveddelen av etatens supportfunksjon i samme styringslinje</w:t>
      </w:r>
      <w:r>
        <w:rPr>
          <w:rFonts w:eastAsia="Calibri" w:cs="Calibri"/>
          <w:szCs w:val="20"/>
        </w:rPr>
        <w:t xml:space="preserve">. Endringen vil </w:t>
      </w:r>
      <w:r w:rsidRPr="004401C6">
        <w:rPr>
          <w:rFonts w:eastAsia="Calibri" w:cs="Calibri"/>
          <w:szCs w:val="20"/>
        </w:rPr>
        <w:t>kunne gi økt leveransekapasitet og bidra til å høyne faglig kvalitet gjennom mobilisering og optimal bruk av kompetanse og ressurser.</w:t>
      </w:r>
    </w:p>
    <w:p w:rsidR="00746248" w:rsidRDefault="00746248" w:rsidP="00746248">
      <w:pPr>
        <w:spacing w:after="0" w:line="240" w:lineRule="auto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De arbeidsmiljømessige konsekvensene er vurdert.</w:t>
      </w:r>
    </w:p>
    <w:p w:rsidR="00746248" w:rsidRDefault="00746248" w:rsidP="00746248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371F4A" w:rsidRPr="008F15A6" w:rsidRDefault="00746248" w:rsidP="008F15A6">
      <w:pPr>
        <w:spacing w:line="240" w:lineRule="auto"/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  <w:u w:val="single"/>
        </w:rPr>
        <w:t>Vedtak</w:t>
      </w:r>
      <w:r w:rsidR="00E5502F" w:rsidRPr="00E5502F">
        <w:rPr>
          <w:rFonts w:asciiTheme="majorHAnsi" w:hAnsiTheme="majorHAnsi"/>
          <w:b/>
          <w:szCs w:val="20"/>
        </w:rPr>
        <w:br/>
      </w:r>
      <w:r>
        <w:rPr>
          <w:szCs w:val="20"/>
        </w:rPr>
        <w:t xml:space="preserve">AMU tar de arbeidsmiljømessige forholdene ved flytting av UKEs servicesenter til etterretning. </w:t>
      </w:r>
      <w:r w:rsidRPr="004401C6">
        <w:rPr>
          <w:rFonts w:eastAsia="+mn-ea" w:cs="+mn-cs"/>
          <w:color w:val="000000"/>
          <w:kern w:val="24"/>
          <w:szCs w:val="20"/>
          <w:lang w:eastAsia="nb-NO"/>
        </w:rPr>
        <w:t xml:space="preserve"> </w:t>
      </w:r>
    </w:p>
    <w:p w:rsidR="00DF4DA4" w:rsidRDefault="00DF4DA4" w:rsidP="00DF4DA4">
      <w:pPr>
        <w:spacing w:after="0" w:line="240" w:lineRule="auto"/>
        <w:ind w:left="2127" w:hanging="2127"/>
        <w:rPr>
          <w:b/>
          <w:szCs w:val="20"/>
        </w:rPr>
      </w:pPr>
    </w:p>
    <w:p w:rsidR="00E0131D" w:rsidRDefault="00746248" w:rsidP="00746248">
      <w:pPr>
        <w:framePr w:hSpace="142" w:wrap="around" w:vAnchor="text" w:hAnchor="text" w:y="1"/>
        <w:spacing w:line="240" w:lineRule="auto"/>
        <w:ind w:left="2124" w:hanging="2124"/>
        <w:suppressOverlap/>
        <w:rPr>
          <w:rFonts w:ascii="Oslo Sans Office" w:hAnsi="Oslo Sans Office"/>
          <w:szCs w:val="20"/>
        </w:rPr>
      </w:pPr>
      <w:r w:rsidRPr="00746248">
        <w:rPr>
          <w:rFonts w:asciiTheme="majorHAnsi" w:eastAsia="Times New Roman" w:hAnsiTheme="majorHAnsi" w:cs="Times New Roman"/>
          <w:b/>
          <w:szCs w:val="20"/>
          <w:lang w:eastAsia="nb-NO"/>
        </w:rPr>
        <w:lastRenderedPageBreak/>
        <w:t>AMU sak 11/20</w:t>
      </w:r>
      <w:r w:rsidRPr="00746248">
        <w:rPr>
          <w:rFonts w:asciiTheme="majorHAnsi" w:eastAsia="Times New Roman" w:hAnsiTheme="majorHAnsi" w:cs="Times New Roman"/>
          <w:b/>
          <w:szCs w:val="20"/>
          <w:lang w:eastAsia="nb-NO"/>
        </w:rPr>
        <w:tab/>
      </w:r>
      <w:r w:rsidRPr="00746248">
        <w:rPr>
          <w:rFonts w:ascii="Oslo Sans Office" w:hAnsi="Oslo Sans Office"/>
          <w:b/>
          <w:szCs w:val="20"/>
        </w:rPr>
        <w:t xml:space="preserve">Omgjøring av stilling og ny organisatorisk plassering – Økonomi/etatsservice </w:t>
      </w:r>
    </w:p>
    <w:p w:rsidR="007B1129" w:rsidRPr="007B1129" w:rsidRDefault="00746248" w:rsidP="007B1129">
      <w:pPr>
        <w:framePr w:hSpace="142" w:wrap="around" w:vAnchor="text" w:hAnchor="text" w:y="1"/>
        <w:tabs>
          <w:tab w:val="num" w:pos="1440"/>
          <w:tab w:val="num" w:pos="2160"/>
        </w:tabs>
        <w:spacing w:after="0" w:line="240" w:lineRule="auto"/>
        <w:suppressOverlap/>
        <w:rPr>
          <w:rFonts w:asciiTheme="majorHAnsi" w:eastAsia="Calibri" w:hAnsiTheme="majorHAnsi" w:cs="Calibri"/>
          <w:szCs w:val="20"/>
        </w:rPr>
      </w:pPr>
      <w:r w:rsidRPr="007B1129">
        <w:rPr>
          <w:rFonts w:asciiTheme="majorHAnsi" w:eastAsia="Times New Roman" w:hAnsiTheme="majorHAnsi" w:cs="Times New Roman"/>
          <w:szCs w:val="20"/>
          <w:u w:val="single"/>
          <w:lang w:eastAsia="nb-NO"/>
        </w:rPr>
        <w:t>Saksfremstilling</w:t>
      </w:r>
      <w:r w:rsidR="007B1129">
        <w:rPr>
          <w:rFonts w:asciiTheme="majorHAnsi" w:eastAsia="Times New Roman" w:hAnsiTheme="majorHAnsi" w:cs="Times New Roman"/>
          <w:szCs w:val="20"/>
          <w:lang w:eastAsia="nb-NO"/>
        </w:rPr>
        <w:br/>
      </w:r>
      <w:r w:rsidR="007B1129" w:rsidRPr="00116B56">
        <w:rPr>
          <w:rFonts w:asciiTheme="majorHAnsi" w:eastAsia="Calibri" w:hAnsiTheme="majorHAnsi" w:cs="Calibri"/>
          <w:szCs w:val="20"/>
        </w:rPr>
        <w:t>Det etableres et system for O</w:t>
      </w:r>
      <w:r w:rsidR="007B1129">
        <w:rPr>
          <w:rFonts w:asciiTheme="majorHAnsi" w:eastAsia="Calibri" w:hAnsiTheme="majorHAnsi" w:cs="Calibri"/>
          <w:szCs w:val="20"/>
        </w:rPr>
        <w:t xml:space="preserve">vervåkende kontroller og hvor det skal lages en plan </w:t>
      </w:r>
      <w:r w:rsidR="007B1129" w:rsidRPr="00116B56">
        <w:rPr>
          <w:rFonts w:asciiTheme="majorHAnsi" w:eastAsia="Calibri" w:hAnsiTheme="majorHAnsi" w:cs="Calibri"/>
          <w:szCs w:val="20"/>
        </w:rPr>
        <w:t xml:space="preserve">for innføring av internkontroll </w:t>
      </w:r>
      <w:r w:rsidR="007B1129">
        <w:rPr>
          <w:rFonts w:asciiTheme="majorHAnsi" w:eastAsia="Calibri" w:hAnsiTheme="majorHAnsi" w:cs="Calibri"/>
          <w:szCs w:val="20"/>
        </w:rPr>
        <w:t>og s</w:t>
      </w:r>
      <w:r w:rsidR="007B1129" w:rsidRPr="00116B56">
        <w:rPr>
          <w:rFonts w:asciiTheme="majorHAnsi" w:eastAsia="Calibri" w:hAnsiTheme="majorHAnsi" w:cs="Calibri"/>
          <w:szCs w:val="20"/>
        </w:rPr>
        <w:t xml:space="preserve">tyringssystem for informasjonssikkerhet </w:t>
      </w:r>
      <w:r w:rsidR="007B1129">
        <w:rPr>
          <w:rFonts w:asciiTheme="majorHAnsi" w:eastAsia="Calibri" w:hAnsiTheme="majorHAnsi" w:cs="Calibri"/>
          <w:szCs w:val="20"/>
        </w:rPr>
        <w:t xml:space="preserve">skal </w:t>
      </w:r>
      <w:r w:rsidR="007B1129" w:rsidRPr="00116B56">
        <w:rPr>
          <w:rFonts w:asciiTheme="majorHAnsi" w:eastAsia="Calibri" w:hAnsiTheme="majorHAnsi" w:cs="Calibri"/>
          <w:szCs w:val="20"/>
        </w:rPr>
        <w:t>revideres og videreføres</w:t>
      </w:r>
    </w:p>
    <w:p w:rsidR="007B1129" w:rsidRDefault="007B1129" w:rsidP="007B1129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t>For å kunne ivareta disse oppgavene er det besluttet at det skal være to stillinger som internkontrollør i UKE.</w:t>
      </w:r>
    </w:p>
    <w:p w:rsidR="007B1129" w:rsidRDefault="007B1129" w:rsidP="007B1129">
      <w:pPr>
        <w:framePr w:hSpace="142" w:wrap="around" w:vAnchor="text" w:hAnchor="text" w:y="1"/>
        <w:spacing w:after="0" w:line="240" w:lineRule="auto"/>
        <w:suppressOverlap/>
      </w:pPr>
      <w:r>
        <w:rPr>
          <w:rFonts w:asciiTheme="majorHAnsi" w:eastAsia="Times New Roman" w:hAnsiTheme="majorHAnsi" w:cs="Times New Roman"/>
          <w:szCs w:val="20"/>
          <w:lang w:eastAsia="nb-NO"/>
        </w:rPr>
        <w:t>De</w:t>
      </w:r>
      <w:r w:rsidRPr="00692E9C">
        <w:t xml:space="preserve"> arbeidsmiljømessige forhold ved</w:t>
      </w:r>
      <w:r>
        <w:t xml:space="preserve"> omgjøring av stilling er god</w:t>
      </w:r>
      <w:r w:rsidRPr="00692E9C">
        <w:t xml:space="preserve">t </w:t>
      </w:r>
      <w:r>
        <w:t xml:space="preserve">begrunnet og </w:t>
      </w:r>
      <w:r w:rsidRPr="00692E9C">
        <w:t xml:space="preserve">ivaretatt. </w:t>
      </w:r>
    </w:p>
    <w:p w:rsidR="007B1129" w:rsidRDefault="007B1129" w:rsidP="007B1129">
      <w:pPr>
        <w:framePr w:hSpace="142" w:wrap="around" w:vAnchor="text" w:hAnchor="text" w:y="1"/>
        <w:spacing w:after="0" w:line="240" w:lineRule="auto"/>
        <w:suppressOverlap/>
      </w:pPr>
    </w:p>
    <w:p w:rsidR="007B1129" w:rsidRPr="007B1129" w:rsidRDefault="007B1129" w:rsidP="007B1129">
      <w:pPr>
        <w:framePr w:hSpace="142" w:wrap="around" w:vAnchor="text" w:hAnchor="text" w:y="1"/>
        <w:spacing w:after="0" w:line="240" w:lineRule="auto"/>
        <w:suppressOverlap/>
        <w:rPr>
          <w:u w:val="single"/>
        </w:rPr>
      </w:pPr>
      <w:r w:rsidRPr="007B1129">
        <w:rPr>
          <w:u w:val="single"/>
        </w:rPr>
        <w:t>Vedtak</w:t>
      </w:r>
    </w:p>
    <w:p w:rsidR="007B1129" w:rsidRDefault="007B1129" w:rsidP="007B1129">
      <w:pPr>
        <w:framePr w:hSpace="142" w:wrap="around" w:vAnchor="text" w:hAnchor="text" w:y="1"/>
        <w:spacing w:after="0"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  <w:r w:rsidRPr="00692E9C">
        <w:t xml:space="preserve">Arbeidsmiljøutvalget tar de arbeidsmiljømessige forholdene som er vurdert i relasjon til </w:t>
      </w:r>
      <w:r>
        <w:t xml:space="preserve">omgjøringen av stillingene med ny organisatorisk plassering </w:t>
      </w:r>
      <w:r w:rsidRPr="00692E9C">
        <w:t>til etterretning.</w:t>
      </w:r>
    </w:p>
    <w:p w:rsidR="007B1129" w:rsidRDefault="007B1129" w:rsidP="007B1129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br/>
      </w:r>
      <w:r w:rsidR="00DB67DA" w:rsidRPr="00DB67DA">
        <w:rPr>
          <w:rFonts w:asciiTheme="majorHAnsi" w:eastAsia="Times New Roman" w:hAnsiTheme="majorHAnsi" w:cs="Times New Roman"/>
          <w:b/>
          <w:szCs w:val="20"/>
          <w:lang w:eastAsia="nb-NO"/>
        </w:rPr>
        <w:t>AMU sak 12/20</w:t>
      </w:r>
      <w:r w:rsidR="00DB67DA">
        <w:rPr>
          <w:rFonts w:asciiTheme="majorHAnsi" w:eastAsia="Times New Roman" w:hAnsiTheme="majorHAnsi" w:cs="Times New Roman"/>
          <w:szCs w:val="20"/>
          <w:lang w:eastAsia="nb-NO"/>
        </w:rPr>
        <w:tab/>
      </w:r>
      <w:r w:rsidR="00DB67DA" w:rsidRPr="00046FAA">
        <w:rPr>
          <w:rFonts w:eastAsia="Times New Roman"/>
          <w:b/>
          <w:szCs w:val="20"/>
          <w:lang w:eastAsia="nb-NO"/>
        </w:rPr>
        <w:t>Juste</w:t>
      </w:r>
      <w:r w:rsidR="00DB67DA">
        <w:rPr>
          <w:rFonts w:eastAsia="Times New Roman"/>
          <w:b/>
          <w:szCs w:val="20"/>
          <w:lang w:eastAsia="nb-NO"/>
        </w:rPr>
        <w:t>ring av ledelsesstruktur</w:t>
      </w:r>
      <w:r w:rsidR="00DB67DA" w:rsidRPr="00046FAA">
        <w:rPr>
          <w:rFonts w:eastAsia="Times New Roman"/>
          <w:b/>
          <w:szCs w:val="20"/>
          <w:lang w:eastAsia="nb-NO"/>
        </w:rPr>
        <w:t xml:space="preserve"> – arbeidsmiljømessige konsekvenser.</w:t>
      </w:r>
    </w:p>
    <w:p w:rsidR="00DB67DA" w:rsidRDefault="00DB67DA" w:rsidP="00DB67DA">
      <w:pPr>
        <w:framePr w:hSpace="142" w:wrap="around" w:vAnchor="text" w:hAnchor="text" w:y="1"/>
        <w:spacing w:after="0" w:line="240" w:lineRule="auto"/>
        <w:suppressOverlap/>
      </w:pPr>
      <w:r w:rsidRPr="00DB67DA">
        <w:rPr>
          <w:rFonts w:asciiTheme="majorHAnsi" w:eastAsia="Times New Roman" w:hAnsiTheme="majorHAnsi" w:cs="Times New Roman"/>
          <w:szCs w:val="20"/>
          <w:u w:val="single"/>
          <w:lang w:eastAsia="nb-NO"/>
        </w:rPr>
        <w:t>Saksfremstilling</w:t>
      </w:r>
      <w:r>
        <w:rPr>
          <w:rFonts w:asciiTheme="majorHAnsi" w:eastAsia="Times New Roman" w:hAnsiTheme="majorHAnsi" w:cs="Times New Roman"/>
          <w:szCs w:val="20"/>
          <w:lang w:eastAsia="nb-NO"/>
        </w:rPr>
        <w:br/>
      </w:r>
      <w:r>
        <w:t xml:space="preserve">I </w:t>
      </w:r>
      <w:r w:rsidRPr="009F24CA">
        <w:t xml:space="preserve">Grafisk og innholdsdesign </w:t>
      </w:r>
      <w:r w:rsidRPr="00046FAA">
        <w:rPr>
          <w:rFonts w:eastAsia="Times New Roman"/>
          <w:szCs w:val="20"/>
          <w:lang w:eastAsia="nb-NO"/>
        </w:rPr>
        <w:t xml:space="preserve">er </w:t>
      </w:r>
      <w:r>
        <w:rPr>
          <w:rFonts w:eastAsia="Times New Roman"/>
          <w:szCs w:val="20"/>
          <w:lang w:eastAsia="nb-NO"/>
        </w:rPr>
        <w:t>d</w:t>
      </w:r>
      <w:r w:rsidRPr="00046FAA">
        <w:rPr>
          <w:rFonts w:eastAsia="Times New Roman"/>
          <w:szCs w:val="20"/>
          <w:lang w:eastAsia="nb-NO"/>
        </w:rPr>
        <w:t>et behov for å ha to teamledere i seksjonen på grunn av høyt lederspenn for individuell tett oppfølging av ansatte. Dagens organisering inne</w:t>
      </w:r>
      <w:r>
        <w:rPr>
          <w:rFonts w:eastAsia="Times New Roman"/>
          <w:szCs w:val="20"/>
          <w:lang w:eastAsia="nb-NO"/>
        </w:rPr>
        <w:t>bærer at eksisterende teamleder</w:t>
      </w:r>
      <w:r w:rsidRPr="00046FAA">
        <w:rPr>
          <w:rFonts w:eastAsia="Times New Roman"/>
          <w:szCs w:val="20"/>
          <w:lang w:eastAsia="nb-NO"/>
        </w:rPr>
        <w:t xml:space="preserve"> har direkt</w:t>
      </w:r>
      <w:r>
        <w:rPr>
          <w:rFonts w:eastAsia="Times New Roman"/>
          <w:szCs w:val="20"/>
          <w:lang w:eastAsia="nb-NO"/>
        </w:rPr>
        <w:t xml:space="preserve">e personalansvar for 18 ansatte. </w:t>
      </w:r>
      <w:r>
        <w:t>Etatsdirektøren</w:t>
      </w:r>
      <w:r w:rsidRPr="00692E9C">
        <w:t xml:space="preserve"> anser de arbeidsmiljømessige forhold ved just</w:t>
      </w:r>
      <w:r>
        <w:t xml:space="preserve">ering av ledelsesstrukturen </w:t>
      </w:r>
      <w:r w:rsidRPr="00692E9C">
        <w:t xml:space="preserve">som godt </w:t>
      </w:r>
      <w:r>
        <w:t xml:space="preserve">begrunnet og </w:t>
      </w:r>
      <w:r w:rsidRPr="00692E9C">
        <w:t xml:space="preserve">ivaretatt. </w:t>
      </w:r>
    </w:p>
    <w:p w:rsidR="00DB67DA" w:rsidRPr="00692E9C" w:rsidRDefault="00DB67DA" w:rsidP="00DB67DA">
      <w:pPr>
        <w:framePr w:hSpace="142" w:wrap="around" w:vAnchor="text" w:hAnchor="text" w:y="1"/>
        <w:spacing w:after="0" w:line="240" w:lineRule="auto"/>
        <w:suppressOverlap/>
      </w:pPr>
    </w:p>
    <w:p w:rsidR="00DB67DA" w:rsidRPr="00046FAA" w:rsidRDefault="00DB67DA" w:rsidP="00DB67DA">
      <w:pPr>
        <w:framePr w:hSpace="142" w:wrap="around" w:vAnchor="text" w:hAnchor="text" w:y="1"/>
        <w:suppressOverlap/>
        <w:rPr>
          <w:b/>
          <w:szCs w:val="20"/>
        </w:rPr>
      </w:pPr>
      <w:r w:rsidRPr="00DB67DA">
        <w:rPr>
          <w:rFonts w:asciiTheme="majorHAnsi" w:eastAsia="Times New Roman" w:hAnsiTheme="majorHAnsi" w:cs="Times New Roman"/>
          <w:szCs w:val="20"/>
          <w:u w:val="single"/>
          <w:lang w:eastAsia="nb-NO"/>
        </w:rPr>
        <w:t>Vedtak</w:t>
      </w:r>
      <w:r>
        <w:rPr>
          <w:rFonts w:asciiTheme="majorHAnsi" w:eastAsia="Times New Roman" w:hAnsiTheme="majorHAnsi" w:cs="Times New Roman"/>
          <w:szCs w:val="20"/>
          <w:u w:val="single"/>
          <w:lang w:eastAsia="nb-NO"/>
        </w:rPr>
        <w:br/>
      </w:r>
      <w:r w:rsidRPr="00692E9C">
        <w:t>A</w:t>
      </w:r>
      <w:r>
        <w:t xml:space="preserve">MU </w:t>
      </w:r>
      <w:r w:rsidRPr="00692E9C">
        <w:t>tar de arbeidsmiljømessige forholdene som er vurdert i relasjon til organisatoriske justeringer til etterretning.</w:t>
      </w:r>
    </w:p>
    <w:p w:rsidR="001623AD" w:rsidRDefault="00C968B3" w:rsidP="00DB67DA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  <w:r w:rsidRPr="00C968B3">
        <w:rPr>
          <w:rFonts w:asciiTheme="majorHAnsi" w:eastAsia="Times New Roman" w:hAnsiTheme="majorHAnsi" w:cs="Times New Roman"/>
          <w:b/>
          <w:szCs w:val="20"/>
          <w:lang w:eastAsia="nb-NO"/>
        </w:rPr>
        <w:t>Korona informasjon</w:t>
      </w:r>
      <w:r>
        <w:rPr>
          <w:rFonts w:asciiTheme="majorHAnsi" w:eastAsia="Times New Roman" w:hAnsiTheme="majorHAnsi" w:cs="Times New Roman"/>
          <w:b/>
          <w:szCs w:val="20"/>
          <w:lang w:eastAsia="nb-NO"/>
        </w:rPr>
        <w:br/>
      </w:r>
      <w:r w:rsidR="001623AD">
        <w:rPr>
          <w:rFonts w:asciiTheme="majorHAnsi" w:eastAsia="Times New Roman" w:hAnsiTheme="majorHAnsi" w:cs="Times New Roman"/>
          <w:szCs w:val="20"/>
          <w:lang w:eastAsia="nb-NO"/>
        </w:rPr>
        <w:t xml:space="preserve">UKE har igangsatt en del tiltak i forbindelse med Koronasituasjonen, bla at ansatte som kan jobbe hjemme skal det. </w:t>
      </w:r>
      <w:r w:rsidR="007D1655">
        <w:rPr>
          <w:rFonts w:asciiTheme="majorHAnsi" w:eastAsia="Times New Roman" w:hAnsiTheme="majorHAnsi" w:cs="Times New Roman"/>
          <w:szCs w:val="20"/>
          <w:lang w:eastAsia="nb-NO"/>
        </w:rPr>
        <w:t>Hovedgrunnen til dette er at de fleste av oss kan jobbe hjemme og at vi dermed frigjør presset på kollektivtrafikken i Oslo.</w:t>
      </w:r>
      <w:r w:rsidR="007D1655">
        <w:rPr>
          <w:rFonts w:asciiTheme="majorHAnsi" w:eastAsia="Times New Roman" w:hAnsiTheme="majorHAnsi" w:cs="Times New Roman"/>
          <w:szCs w:val="20"/>
          <w:lang w:eastAsia="nb-NO"/>
        </w:rPr>
        <w:br/>
      </w:r>
      <w:r w:rsidR="001623AD">
        <w:rPr>
          <w:rFonts w:asciiTheme="majorHAnsi" w:eastAsia="Times New Roman" w:hAnsiTheme="majorHAnsi" w:cs="Times New Roman"/>
          <w:szCs w:val="20"/>
          <w:lang w:eastAsia="nb-NO"/>
        </w:rPr>
        <w:t xml:space="preserve">Det ligger informasjon på etatens </w:t>
      </w:r>
      <w:r w:rsidR="00C45112">
        <w:rPr>
          <w:rFonts w:asciiTheme="majorHAnsi" w:eastAsia="Times New Roman" w:hAnsiTheme="majorHAnsi" w:cs="Times New Roman"/>
          <w:szCs w:val="20"/>
          <w:lang w:eastAsia="nb-NO"/>
        </w:rPr>
        <w:t>intranettside</w:t>
      </w:r>
      <w:r w:rsidR="001623AD">
        <w:rPr>
          <w:rFonts w:asciiTheme="majorHAnsi" w:eastAsia="Times New Roman" w:hAnsiTheme="majorHAnsi" w:cs="Times New Roman"/>
          <w:szCs w:val="20"/>
          <w:lang w:eastAsia="nb-NO"/>
        </w:rPr>
        <w:t xml:space="preserve"> og under «lokale retningslinjer». </w:t>
      </w:r>
      <w:r w:rsidR="004406EB">
        <w:rPr>
          <w:rFonts w:asciiTheme="majorHAnsi" w:eastAsia="Times New Roman" w:hAnsiTheme="majorHAnsi" w:cs="Times New Roman"/>
          <w:szCs w:val="20"/>
          <w:lang w:eastAsia="nb-NO"/>
        </w:rPr>
        <w:t>Det er leder som godkjenner all fysisk tilstedeværelse og som må registrere dette inn i egen oversikt som alle ledere har tilgang til</w:t>
      </w:r>
      <w:bookmarkStart w:id="0" w:name="_GoBack"/>
      <w:bookmarkEnd w:id="0"/>
      <w:r w:rsidR="004406EB">
        <w:rPr>
          <w:rFonts w:asciiTheme="majorHAnsi" w:eastAsia="Times New Roman" w:hAnsiTheme="majorHAnsi" w:cs="Times New Roman"/>
          <w:szCs w:val="20"/>
          <w:lang w:eastAsia="nb-NO"/>
        </w:rPr>
        <w:t>.</w:t>
      </w:r>
      <w:r w:rsidR="00962E83">
        <w:rPr>
          <w:rFonts w:asciiTheme="majorHAnsi" w:eastAsia="Times New Roman" w:hAnsiTheme="majorHAnsi" w:cs="Times New Roman"/>
          <w:szCs w:val="20"/>
          <w:lang w:eastAsia="nb-NO"/>
        </w:rPr>
        <w:t xml:space="preserve"> </w:t>
      </w:r>
      <w:r w:rsidR="007D1655">
        <w:rPr>
          <w:rFonts w:asciiTheme="majorHAnsi" w:eastAsia="Times New Roman" w:hAnsiTheme="majorHAnsi" w:cs="Times New Roman"/>
          <w:szCs w:val="20"/>
          <w:lang w:eastAsia="nb-NO"/>
        </w:rPr>
        <w:t xml:space="preserve">Alle </w:t>
      </w:r>
      <w:r w:rsidR="00C45112">
        <w:rPr>
          <w:rFonts w:asciiTheme="majorHAnsi" w:eastAsia="Times New Roman" w:hAnsiTheme="majorHAnsi" w:cs="Times New Roman"/>
          <w:szCs w:val="20"/>
          <w:lang w:eastAsia="nb-NO"/>
        </w:rPr>
        <w:t>ledere</w:t>
      </w:r>
      <w:r w:rsidR="007D1655">
        <w:rPr>
          <w:rFonts w:asciiTheme="majorHAnsi" w:eastAsia="Times New Roman" w:hAnsiTheme="majorHAnsi" w:cs="Times New Roman"/>
          <w:szCs w:val="20"/>
          <w:lang w:eastAsia="nb-NO"/>
        </w:rPr>
        <w:t xml:space="preserve"> med personalansvar skal følge opp egne ansatte og sikre at de har gode arbeidsdager både sosialt og fagmessig.</w:t>
      </w:r>
    </w:p>
    <w:p w:rsidR="000B3F24" w:rsidRDefault="000B3F24" w:rsidP="00DB67DA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t>De ansatte som trenger utstyr, for eksempel skjermer, skal ta kontakt med egen leder som hjelper til med dette.</w:t>
      </w:r>
    </w:p>
    <w:p w:rsidR="007D1655" w:rsidRDefault="007D1655" w:rsidP="00DB67DA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t xml:space="preserve">Det vil i løpet av kort tid bli sendt ut en questback undersøkelse til alle ansatte hvor spørsmål </w:t>
      </w:r>
      <w:r w:rsidR="00C45112">
        <w:rPr>
          <w:rFonts w:asciiTheme="majorHAnsi" w:eastAsia="Times New Roman" w:hAnsiTheme="majorHAnsi" w:cs="Times New Roman"/>
          <w:szCs w:val="20"/>
          <w:lang w:eastAsia="nb-NO"/>
        </w:rPr>
        <w:t>knyttet</w:t>
      </w:r>
      <w:r>
        <w:rPr>
          <w:rFonts w:asciiTheme="majorHAnsi" w:eastAsia="Times New Roman" w:hAnsiTheme="majorHAnsi" w:cs="Times New Roman"/>
          <w:szCs w:val="20"/>
          <w:lang w:eastAsia="nb-NO"/>
        </w:rPr>
        <w:t xml:space="preserve"> til dagens situasjon er hovedtema.</w:t>
      </w:r>
      <w:r w:rsidR="005B5577">
        <w:rPr>
          <w:rFonts w:asciiTheme="majorHAnsi" w:eastAsia="Times New Roman" w:hAnsiTheme="majorHAnsi" w:cs="Times New Roman"/>
          <w:szCs w:val="20"/>
          <w:lang w:eastAsia="nb-NO"/>
        </w:rPr>
        <w:t xml:space="preserve"> Da vil ledelsen få en mulighet til å se hvilket behov ansatte har og hvilke tiltak som bør og kan igangsettes. </w:t>
      </w:r>
    </w:p>
    <w:p w:rsidR="007D1655" w:rsidRDefault="007D1655" w:rsidP="00DB67DA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lang w:eastAsia="nb-NO"/>
        </w:rPr>
      </w:pPr>
    </w:p>
    <w:p w:rsidR="00C968B3" w:rsidRPr="00DB67DA" w:rsidRDefault="00C968B3" w:rsidP="00DB67DA">
      <w:pPr>
        <w:framePr w:hSpace="142" w:wrap="around" w:vAnchor="text" w:hAnchor="text" w:y="1"/>
        <w:spacing w:line="240" w:lineRule="auto"/>
        <w:suppressOverlap/>
        <w:rPr>
          <w:rFonts w:asciiTheme="majorHAnsi" w:eastAsia="Times New Roman" w:hAnsiTheme="majorHAnsi" w:cs="Times New Roman"/>
          <w:szCs w:val="20"/>
          <w:u w:val="single"/>
          <w:lang w:eastAsia="nb-NO"/>
        </w:rPr>
      </w:pPr>
    </w:p>
    <w:p w:rsidR="002710CE" w:rsidRDefault="002710CE" w:rsidP="00A36666">
      <w:pPr>
        <w:framePr w:hSpace="142" w:wrap="around" w:vAnchor="text" w:hAnchor="text" w:y="1"/>
        <w:spacing w:line="240" w:lineRule="auto"/>
        <w:suppressOverlap/>
        <w:rPr>
          <w:rFonts w:eastAsia="+mn-ea" w:cs="+mn-cs"/>
          <w:color w:val="000000"/>
          <w:kern w:val="24"/>
          <w:szCs w:val="20"/>
          <w:lang w:eastAsia="nb-NO"/>
        </w:rPr>
      </w:pPr>
    </w:p>
    <w:p w:rsidR="002710CE" w:rsidRDefault="002710CE" w:rsidP="00A36666">
      <w:pPr>
        <w:framePr w:hSpace="142" w:wrap="around" w:vAnchor="text" w:hAnchor="text" w:y="1"/>
        <w:spacing w:line="240" w:lineRule="auto"/>
        <w:suppressOverlap/>
        <w:rPr>
          <w:rFonts w:eastAsia="+mn-ea" w:cs="+mn-cs"/>
          <w:color w:val="000000"/>
          <w:kern w:val="24"/>
          <w:szCs w:val="20"/>
          <w:lang w:eastAsia="nb-NO"/>
        </w:rPr>
      </w:pPr>
    </w:p>
    <w:p w:rsidR="002710CE" w:rsidRPr="0022033F" w:rsidRDefault="002710CE" w:rsidP="00A36666">
      <w:pPr>
        <w:framePr w:hSpace="142" w:wrap="around" w:vAnchor="text" w:hAnchor="text" w:y="1"/>
        <w:spacing w:line="240" w:lineRule="auto"/>
        <w:suppressOverlap/>
        <w:rPr>
          <w:rFonts w:asciiTheme="majorHAnsi" w:hAnsiTheme="majorHAnsi"/>
          <w:b/>
          <w:szCs w:val="20"/>
        </w:rPr>
      </w:pPr>
    </w:p>
    <w:p w:rsidR="001C2B8C" w:rsidRPr="001C2B8C" w:rsidRDefault="001C2B8C" w:rsidP="000B3F2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sectPr w:rsidR="001C2B8C" w:rsidRPr="001C2B8C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5.2pt;height:636.8pt" o:bullet="t">
        <v:imagedata r:id="rId1" o:title="art6742"/>
      </v:shape>
    </w:pict>
  </w:numPicBullet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65AA"/>
    <w:multiLevelType w:val="hybridMultilevel"/>
    <w:tmpl w:val="BBF68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4359AE"/>
    <w:multiLevelType w:val="hybridMultilevel"/>
    <w:tmpl w:val="888CE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81D7A"/>
    <w:multiLevelType w:val="hybridMultilevel"/>
    <w:tmpl w:val="0D6AE3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050A9"/>
    <w:multiLevelType w:val="hybridMultilevel"/>
    <w:tmpl w:val="547A5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95EC1"/>
    <w:rsid w:val="000B100F"/>
    <w:rsid w:val="000B3F24"/>
    <w:rsid w:val="001623AD"/>
    <w:rsid w:val="00162725"/>
    <w:rsid w:val="00186573"/>
    <w:rsid w:val="001C2B8C"/>
    <w:rsid w:val="001F112F"/>
    <w:rsid w:val="0022033F"/>
    <w:rsid w:val="0022124F"/>
    <w:rsid w:val="0025699D"/>
    <w:rsid w:val="002710CE"/>
    <w:rsid w:val="002B67EC"/>
    <w:rsid w:val="002F4360"/>
    <w:rsid w:val="00325D57"/>
    <w:rsid w:val="00371F4A"/>
    <w:rsid w:val="003A0234"/>
    <w:rsid w:val="003C686E"/>
    <w:rsid w:val="0041004E"/>
    <w:rsid w:val="004406EB"/>
    <w:rsid w:val="00483FE0"/>
    <w:rsid w:val="004E6E74"/>
    <w:rsid w:val="0055183B"/>
    <w:rsid w:val="00560D31"/>
    <w:rsid w:val="00564015"/>
    <w:rsid w:val="00567104"/>
    <w:rsid w:val="0057341C"/>
    <w:rsid w:val="005812E4"/>
    <w:rsid w:val="00595FDC"/>
    <w:rsid w:val="005B5577"/>
    <w:rsid w:val="005D093C"/>
    <w:rsid w:val="006B5D92"/>
    <w:rsid w:val="006E006E"/>
    <w:rsid w:val="00727D7C"/>
    <w:rsid w:val="00746248"/>
    <w:rsid w:val="007B1129"/>
    <w:rsid w:val="007D1113"/>
    <w:rsid w:val="007D1655"/>
    <w:rsid w:val="007E4B0D"/>
    <w:rsid w:val="00854933"/>
    <w:rsid w:val="008B0029"/>
    <w:rsid w:val="008D5723"/>
    <w:rsid w:val="008F0992"/>
    <w:rsid w:val="008F15A6"/>
    <w:rsid w:val="00962E83"/>
    <w:rsid w:val="009A11C5"/>
    <w:rsid w:val="009F74A4"/>
    <w:rsid w:val="00A0208E"/>
    <w:rsid w:val="00A06A79"/>
    <w:rsid w:val="00A36666"/>
    <w:rsid w:val="00A63656"/>
    <w:rsid w:val="00A67238"/>
    <w:rsid w:val="00AA100D"/>
    <w:rsid w:val="00AE4DB0"/>
    <w:rsid w:val="00B10DAE"/>
    <w:rsid w:val="00B51876"/>
    <w:rsid w:val="00B72B84"/>
    <w:rsid w:val="00BC4C57"/>
    <w:rsid w:val="00C312C4"/>
    <w:rsid w:val="00C45112"/>
    <w:rsid w:val="00C51925"/>
    <w:rsid w:val="00C968B3"/>
    <w:rsid w:val="00D44A50"/>
    <w:rsid w:val="00D44FE9"/>
    <w:rsid w:val="00D8326C"/>
    <w:rsid w:val="00DB35DE"/>
    <w:rsid w:val="00DB67DA"/>
    <w:rsid w:val="00DF4DA4"/>
    <w:rsid w:val="00E0131D"/>
    <w:rsid w:val="00E460CC"/>
    <w:rsid w:val="00E51F3C"/>
    <w:rsid w:val="00E5502F"/>
    <w:rsid w:val="00EE216C"/>
    <w:rsid w:val="00F441E5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C183D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35</TotalTime>
  <Pages>3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10</cp:revision>
  <dcterms:created xsi:type="dcterms:W3CDTF">2020-08-31T08:47:00Z</dcterms:created>
  <dcterms:modified xsi:type="dcterms:W3CDTF">2020-09-29T12:26:00Z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